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755E6" w:rsidR="00F30D73" w:rsidP="00F30D73" w:rsidRDefault="00F30D73" w14:paraId="ffe8d73" w14:textId="ffe8d73">
      <w:pPr>
        <w:jc w:val="right"/>
        <w15:collapsed w:val="false"/>
        <w:rPr>
          <w:rFonts w:ascii="Arial" w:hAnsi="Arial" w:cs="Arial"/>
        </w:rPr>
      </w:pPr>
      <w:bookmarkStart w:name="_GoBack" w:id="0"/>
      <w:bookmarkEnd w:id="0"/>
      <w:r w:rsidRPr="006755E6">
        <w:rPr>
          <w:rFonts w:ascii="Arial" w:hAnsi="Arial" w:cs="Arial"/>
        </w:rPr>
        <w:t>1 St-</w:t>
      </w:r>
      <w:r w:rsidR="00C04688">
        <w:rPr>
          <w:rFonts w:ascii="Arial" w:hAnsi="Arial" w:cs="Arial"/>
        </w:rPr>
        <w:t>142</w:t>
      </w:r>
      <w:r w:rsidRPr="006755E6">
        <w:rPr>
          <w:rFonts w:ascii="Arial" w:hAnsi="Arial" w:cs="Arial"/>
        </w:rPr>
        <w:t>/</w:t>
      </w:r>
      <w:r w:rsidRPr="006755E6" w:rsidR="00651E9B">
        <w:rPr>
          <w:rFonts w:ascii="Arial" w:hAnsi="Arial" w:cs="Arial"/>
        </w:rPr>
        <w:t>20</w:t>
      </w:r>
      <w:r w:rsidRPr="006755E6" w:rsidR="002B2A2A">
        <w:rPr>
          <w:rFonts w:ascii="Arial" w:hAnsi="Arial" w:cs="Arial"/>
        </w:rPr>
        <w:t>1</w:t>
      </w:r>
      <w:r w:rsidR="006755E6">
        <w:rPr>
          <w:rFonts w:ascii="Arial" w:hAnsi="Arial" w:cs="Arial"/>
        </w:rPr>
        <w:t>8</w:t>
      </w:r>
      <w:r w:rsidRPr="006755E6" w:rsidR="00B30EDC">
        <w:rPr>
          <w:rFonts w:ascii="Arial" w:hAnsi="Arial" w:cs="Arial"/>
        </w:rPr>
        <w:t>-</w:t>
      </w:r>
      <w:r w:rsidR="00C04688">
        <w:rPr>
          <w:rFonts w:ascii="Arial" w:hAnsi="Arial" w:cs="Arial"/>
        </w:rPr>
        <w:t>120</w:t>
      </w:r>
    </w:p>
    <w:p w:rsidRPr="006755E6" w:rsidR="008E380D" w:rsidP="009E003C" w:rsidRDefault="008E380D">
      <w:pPr>
        <w:rPr>
          <w:rFonts w:ascii="Arial" w:hAnsi="Arial" w:cs="Arial"/>
        </w:rPr>
      </w:pPr>
    </w:p>
    <w:p w:rsidRPr="006755E6" w:rsidR="009E003C" w:rsidP="009E003C" w:rsidRDefault="009E003C">
      <w:pPr>
        <w:jc w:val="center"/>
        <w:rPr>
          <w:rFonts w:ascii="Arial" w:hAnsi="Arial" w:cs="Arial"/>
        </w:rPr>
      </w:pPr>
      <w:r w:rsidRPr="006755E6">
        <w:rPr>
          <w:rFonts w:ascii="Arial" w:hAnsi="Arial" w:cs="Arial"/>
        </w:rPr>
        <w:t>Z A P I S N I K</w:t>
      </w:r>
    </w:p>
    <w:p w:rsidRPr="006755E6" w:rsidR="009E003C" w:rsidP="009E003C" w:rsidRDefault="009E003C">
      <w:pPr>
        <w:jc w:val="center"/>
        <w:rPr>
          <w:rFonts w:ascii="Arial" w:hAnsi="Arial" w:cs="Arial"/>
        </w:rPr>
      </w:pPr>
    </w:p>
    <w:p w:rsidRPr="006755E6" w:rsidR="00F24E03" w:rsidP="009E003C" w:rsidRDefault="009E003C">
      <w:pPr>
        <w:jc w:val="both"/>
        <w:rPr>
          <w:rFonts w:ascii="Arial" w:hAnsi="Arial" w:cs="Arial"/>
        </w:rPr>
      </w:pPr>
      <w:r w:rsidRPr="006755E6">
        <w:rPr>
          <w:rFonts w:ascii="Arial" w:hAnsi="Arial" w:cs="Arial"/>
        </w:rPr>
        <w:t>sa SKUPŠTINE VJEROVNIKA</w:t>
      </w:r>
      <w:r w:rsidRPr="006755E6" w:rsidR="00EC4814">
        <w:rPr>
          <w:rFonts w:ascii="Arial" w:hAnsi="Arial" w:cs="Arial"/>
        </w:rPr>
        <w:t xml:space="preserve"> održane</w:t>
      </w:r>
      <w:r w:rsidRPr="006755E6">
        <w:rPr>
          <w:rFonts w:ascii="Arial" w:hAnsi="Arial" w:cs="Arial"/>
        </w:rPr>
        <w:t xml:space="preserve"> kod Trgovačkog suda u Zadru, u stečajnom postupku nad stečajnim dužnikom </w:t>
      </w:r>
      <w:r w:rsidRPr="008F370D" w:rsidR="00C04688">
        <w:rPr>
          <w:rFonts w:ascii="Arial" w:hAnsi="Arial" w:cs="Arial"/>
        </w:rPr>
        <w:t>MATKOL d.o.o. u stečaju, Šibenik, 8. Dalmatinske udarne brigade 23, OIB: 14821448506</w:t>
      </w:r>
      <w:r w:rsidRPr="006755E6" w:rsidR="00F30D73">
        <w:rPr>
          <w:rFonts w:ascii="Arial" w:hAnsi="Arial" w:cs="Arial"/>
        </w:rPr>
        <w:t>,</w:t>
      </w:r>
      <w:r w:rsidRPr="006755E6">
        <w:rPr>
          <w:rFonts w:ascii="Arial" w:hAnsi="Arial" w:cs="Arial"/>
        </w:rPr>
        <w:t xml:space="preserve"> </w:t>
      </w:r>
      <w:r w:rsidR="00C04688">
        <w:rPr>
          <w:rFonts w:ascii="Arial" w:hAnsi="Arial" w:cs="Arial"/>
        </w:rPr>
        <w:t>25</w:t>
      </w:r>
      <w:r w:rsidRPr="006755E6" w:rsidR="00651E9B">
        <w:rPr>
          <w:rFonts w:ascii="Arial" w:hAnsi="Arial" w:cs="Arial"/>
        </w:rPr>
        <w:t xml:space="preserve">. </w:t>
      </w:r>
      <w:r w:rsidR="00C04688">
        <w:rPr>
          <w:rFonts w:ascii="Arial" w:hAnsi="Arial" w:cs="Arial"/>
        </w:rPr>
        <w:t>kolovoza</w:t>
      </w:r>
      <w:r w:rsidRPr="006755E6" w:rsidR="007F4CE7">
        <w:rPr>
          <w:rFonts w:ascii="Arial" w:hAnsi="Arial" w:cs="Arial"/>
        </w:rPr>
        <w:t xml:space="preserve"> 2021</w:t>
      </w:r>
      <w:r w:rsidRPr="006755E6" w:rsidR="00651E9B">
        <w:rPr>
          <w:rFonts w:ascii="Arial" w:hAnsi="Arial" w:cs="Arial"/>
        </w:rPr>
        <w:t>.</w:t>
      </w:r>
    </w:p>
    <w:p w:rsidRPr="006755E6" w:rsidR="00F30D73" w:rsidP="009E003C" w:rsidRDefault="00F30D73">
      <w:pPr>
        <w:jc w:val="both"/>
        <w:rPr>
          <w:rFonts w:ascii="Arial" w:hAnsi="Arial" w:cs="Arial"/>
        </w:rPr>
      </w:pPr>
    </w:p>
    <w:p w:rsidRPr="006755E6" w:rsidR="009E003C" w:rsidP="009E003C" w:rsidRDefault="009E003C">
      <w:pPr>
        <w:jc w:val="both"/>
        <w:rPr>
          <w:rFonts w:ascii="Arial" w:hAnsi="Arial" w:cs="Arial"/>
        </w:rPr>
      </w:pPr>
      <w:r w:rsidRPr="006755E6">
        <w:rPr>
          <w:rFonts w:ascii="Arial" w:hAnsi="Arial" w:cs="Arial"/>
        </w:rPr>
        <w:t>Nazočni od suda:</w:t>
      </w:r>
    </w:p>
    <w:p w:rsidRPr="006755E6" w:rsidR="009E003C" w:rsidP="009E003C" w:rsidRDefault="009E003C">
      <w:pPr>
        <w:jc w:val="both"/>
        <w:rPr>
          <w:rFonts w:ascii="Arial" w:hAnsi="Arial" w:cs="Arial"/>
        </w:rPr>
      </w:pPr>
    </w:p>
    <w:p w:rsidRPr="006755E6" w:rsidR="009E003C" w:rsidP="009E003C" w:rsidRDefault="009E003C">
      <w:pPr>
        <w:numPr>
          <w:ilvl w:val="0"/>
          <w:numId w:val="1"/>
        </w:numPr>
        <w:jc w:val="both"/>
        <w:rPr>
          <w:rFonts w:ascii="Arial" w:hAnsi="Arial" w:cs="Arial"/>
        </w:rPr>
      </w:pPr>
      <w:r w:rsidRPr="006755E6">
        <w:rPr>
          <w:rFonts w:ascii="Arial" w:hAnsi="Arial" w:cs="Arial"/>
        </w:rPr>
        <w:t xml:space="preserve">Ardena Bajlo, </w:t>
      </w:r>
      <w:r w:rsidRPr="006755E6" w:rsidR="00651E9B">
        <w:rPr>
          <w:rFonts w:ascii="Arial" w:hAnsi="Arial" w:cs="Arial"/>
        </w:rPr>
        <w:t>sutkinja</w:t>
      </w:r>
    </w:p>
    <w:p w:rsidRPr="006755E6" w:rsidR="009E003C" w:rsidP="009E003C" w:rsidRDefault="004041A5">
      <w:pPr>
        <w:numPr>
          <w:ilvl w:val="0"/>
          <w:numId w:val="1"/>
        </w:numPr>
        <w:jc w:val="both"/>
        <w:rPr>
          <w:rFonts w:ascii="Arial" w:hAnsi="Arial" w:cs="Arial"/>
        </w:rPr>
      </w:pPr>
      <w:r w:rsidRPr="006755E6">
        <w:rPr>
          <w:rFonts w:ascii="Arial" w:hAnsi="Arial" w:cs="Arial"/>
        </w:rPr>
        <w:t>Ante Rubelj</w:t>
      </w:r>
      <w:r w:rsidRPr="006755E6" w:rsidR="009E003C">
        <w:rPr>
          <w:rFonts w:ascii="Arial" w:hAnsi="Arial" w:cs="Arial"/>
        </w:rPr>
        <w:t>, zapisničar</w:t>
      </w:r>
    </w:p>
    <w:p w:rsidRPr="006755E6" w:rsidR="009E003C" w:rsidP="009E003C" w:rsidRDefault="009E003C">
      <w:pPr>
        <w:jc w:val="both"/>
        <w:rPr>
          <w:rFonts w:ascii="Arial" w:hAnsi="Arial" w:cs="Arial"/>
        </w:rPr>
      </w:pPr>
    </w:p>
    <w:p w:rsidRPr="006755E6" w:rsidR="009E003C" w:rsidP="009E003C" w:rsidRDefault="00350A4A">
      <w:pPr>
        <w:tabs>
          <w:tab w:val="left" w:pos="480"/>
        </w:tabs>
        <w:rPr>
          <w:rFonts w:ascii="Arial" w:hAnsi="Arial" w:cs="Arial"/>
        </w:rPr>
      </w:pPr>
      <w:r w:rsidRPr="006755E6">
        <w:rPr>
          <w:rFonts w:ascii="Arial" w:hAnsi="Arial" w:cs="Arial"/>
        </w:rPr>
        <w:t>Početak u</w:t>
      </w:r>
      <w:r w:rsidRPr="006755E6" w:rsidR="00116AE8">
        <w:rPr>
          <w:rFonts w:ascii="Arial" w:hAnsi="Arial" w:cs="Arial"/>
        </w:rPr>
        <w:t xml:space="preserve"> </w:t>
      </w:r>
      <w:r w:rsidR="000311F1">
        <w:rPr>
          <w:rFonts w:ascii="Arial" w:hAnsi="Arial" w:cs="Arial"/>
        </w:rPr>
        <w:t>10</w:t>
      </w:r>
      <w:r w:rsidRPr="006755E6" w:rsidR="00651E9B">
        <w:rPr>
          <w:rFonts w:ascii="Arial" w:hAnsi="Arial" w:cs="Arial"/>
        </w:rPr>
        <w:t>,</w:t>
      </w:r>
      <w:r w:rsidR="00C04688">
        <w:rPr>
          <w:rFonts w:ascii="Arial" w:hAnsi="Arial" w:cs="Arial"/>
        </w:rPr>
        <w:t>00</w:t>
      </w:r>
      <w:r w:rsidRPr="006755E6" w:rsidR="00A5237A">
        <w:rPr>
          <w:rFonts w:ascii="Arial" w:hAnsi="Arial" w:cs="Arial"/>
        </w:rPr>
        <w:t xml:space="preserve"> </w:t>
      </w:r>
      <w:r w:rsidRPr="006755E6" w:rsidR="009E003C">
        <w:rPr>
          <w:rFonts w:ascii="Arial" w:hAnsi="Arial" w:cs="Arial"/>
        </w:rPr>
        <w:t>sati.</w:t>
      </w:r>
    </w:p>
    <w:p w:rsidRPr="006755E6" w:rsidR="009E003C" w:rsidP="009E003C" w:rsidRDefault="009E003C">
      <w:pPr>
        <w:ind w:left="360"/>
        <w:rPr>
          <w:rFonts w:ascii="Arial" w:hAnsi="Arial" w:cs="Arial"/>
        </w:rPr>
      </w:pPr>
    </w:p>
    <w:p w:rsidRPr="006755E6" w:rsidR="009E003C" w:rsidP="009E003C" w:rsidRDefault="00885931">
      <w:pPr>
        <w:jc w:val="both"/>
        <w:rPr>
          <w:rFonts w:ascii="Arial" w:hAnsi="Arial" w:cs="Arial"/>
        </w:rPr>
      </w:pPr>
      <w:r>
        <w:rPr>
          <w:rFonts w:ascii="Arial" w:hAnsi="Arial" w:cs="Arial"/>
        </w:rPr>
        <w:t>Utvrđuje se da je nazoč</w:t>
      </w:r>
      <w:r w:rsidRPr="006755E6" w:rsidR="00F560DB">
        <w:rPr>
          <w:rFonts w:ascii="Arial" w:hAnsi="Arial" w:cs="Arial"/>
        </w:rPr>
        <w:t>n</w:t>
      </w:r>
      <w:r>
        <w:rPr>
          <w:rFonts w:ascii="Arial" w:hAnsi="Arial" w:cs="Arial"/>
        </w:rPr>
        <w:t>a</w:t>
      </w:r>
      <w:r w:rsidRPr="006755E6" w:rsidR="002316EC">
        <w:rPr>
          <w:rFonts w:ascii="Arial" w:hAnsi="Arial" w:cs="Arial"/>
        </w:rPr>
        <w:t xml:space="preserve"> </w:t>
      </w:r>
      <w:r w:rsidR="00C04688">
        <w:rPr>
          <w:rFonts w:ascii="Arial" w:hAnsi="Arial" w:cs="Arial"/>
        </w:rPr>
        <w:t>Tea Gatternig</w:t>
      </w:r>
      <w:r w:rsidRPr="006755E6" w:rsidR="00651E9B">
        <w:rPr>
          <w:rFonts w:ascii="Arial" w:hAnsi="Arial" w:cs="Arial"/>
        </w:rPr>
        <w:t>,</w:t>
      </w:r>
      <w:r w:rsidRPr="006755E6" w:rsidR="009E003C">
        <w:rPr>
          <w:rFonts w:ascii="Arial" w:hAnsi="Arial" w:cs="Arial"/>
        </w:rPr>
        <w:t xml:space="preserve"> stečajn</w:t>
      </w:r>
      <w:r w:rsidRPr="006755E6" w:rsidR="00F560DB">
        <w:rPr>
          <w:rFonts w:ascii="Arial" w:hAnsi="Arial" w:cs="Arial"/>
        </w:rPr>
        <w:t>i</w:t>
      </w:r>
      <w:r w:rsidRPr="006755E6" w:rsidR="009E003C">
        <w:rPr>
          <w:rFonts w:ascii="Arial" w:hAnsi="Arial" w:cs="Arial"/>
        </w:rPr>
        <w:t xml:space="preserve"> upravitelj.</w:t>
      </w:r>
    </w:p>
    <w:p w:rsidRPr="006755E6" w:rsidR="00F560DB" w:rsidP="009E003C" w:rsidRDefault="00F560DB">
      <w:pPr>
        <w:jc w:val="both"/>
        <w:rPr>
          <w:rFonts w:ascii="Arial" w:hAnsi="Arial" w:cs="Arial"/>
        </w:rPr>
      </w:pPr>
    </w:p>
    <w:p w:rsidRPr="006755E6" w:rsidR="00793082" w:rsidP="00793082" w:rsidRDefault="00793082">
      <w:pPr>
        <w:ind w:left="360" w:hanging="360"/>
        <w:jc w:val="both"/>
        <w:rPr>
          <w:rFonts w:ascii="Arial" w:hAnsi="Arial" w:cs="Arial"/>
        </w:rPr>
      </w:pPr>
      <w:r w:rsidRPr="006755E6">
        <w:rPr>
          <w:rFonts w:ascii="Arial" w:hAnsi="Arial" w:cs="Arial"/>
        </w:rPr>
        <w:t>Nazočni od vjerovnika:</w:t>
      </w:r>
      <w:r w:rsidRPr="006755E6" w:rsidR="00EE5C42">
        <w:rPr>
          <w:rFonts w:ascii="Arial" w:hAnsi="Arial" w:cs="Arial"/>
        </w:rPr>
        <w:t xml:space="preserve"> </w:t>
      </w:r>
    </w:p>
    <w:p w:rsidR="00B958AD" w:rsidP="00F71208" w:rsidRDefault="00375FF3">
      <w:pPr>
        <w:pStyle w:val="Odlomakpopisa"/>
        <w:numPr>
          <w:ilvl w:val="0"/>
          <w:numId w:val="26"/>
        </w:numPr>
        <w:jc w:val="both"/>
        <w:rPr>
          <w:rFonts w:ascii="Arial" w:hAnsi="Arial" w:cs="Arial"/>
        </w:rPr>
      </w:pPr>
      <w:r w:rsidRPr="006755E6">
        <w:rPr>
          <w:rFonts w:ascii="Arial" w:hAnsi="Arial" w:cs="Arial"/>
        </w:rPr>
        <w:t xml:space="preserve">za </w:t>
      </w:r>
      <w:r w:rsidR="00885931">
        <w:rPr>
          <w:rFonts w:ascii="Arial" w:hAnsi="Arial" w:cs="Arial"/>
        </w:rPr>
        <w:t>OTP BANKA Tadija Mamić, odvjetnik u OD Šiško i partneri u Splitu</w:t>
      </w:r>
    </w:p>
    <w:p w:rsidR="00885931" w:rsidP="00F71208" w:rsidRDefault="00885931">
      <w:pPr>
        <w:pStyle w:val="Odlomakpopisa"/>
        <w:numPr>
          <w:ilvl w:val="0"/>
          <w:numId w:val="26"/>
        </w:numPr>
        <w:jc w:val="both"/>
        <w:rPr>
          <w:rFonts w:ascii="Arial" w:hAnsi="Arial" w:cs="Arial"/>
        </w:rPr>
      </w:pPr>
      <w:r>
        <w:rPr>
          <w:rFonts w:ascii="Arial" w:hAnsi="Arial" w:cs="Arial"/>
        </w:rPr>
        <w:t>za ZELENI GRAD Šibenik d.o.o. Marijana Kosor Lucić, zaposlenica, po punomoći</w:t>
      </w:r>
    </w:p>
    <w:p w:rsidR="002C63C7" w:rsidP="00F71208" w:rsidRDefault="002C63C7">
      <w:pPr>
        <w:jc w:val="both"/>
        <w:rPr>
          <w:rFonts w:ascii="Arial" w:hAnsi="Arial" w:cs="Arial"/>
        </w:rPr>
      </w:pPr>
    </w:p>
    <w:p w:rsidR="00885931" w:rsidP="00F71208" w:rsidRDefault="00885931">
      <w:pPr>
        <w:jc w:val="both"/>
        <w:rPr>
          <w:rFonts w:ascii="Arial" w:hAnsi="Arial" w:cs="Arial"/>
        </w:rPr>
      </w:pPr>
      <w:r>
        <w:rPr>
          <w:rFonts w:ascii="Arial" w:hAnsi="Arial" w:cs="Arial"/>
        </w:rPr>
        <w:t>Ostali: Jakov Bakić, vještak za strojarstvo</w:t>
      </w:r>
    </w:p>
    <w:p w:rsidR="00885931" w:rsidP="00F71208" w:rsidRDefault="00885931">
      <w:pPr>
        <w:jc w:val="both"/>
        <w:rPr>
          <w:rFonts w:ascii="Arial" w:hAnsi="Arial" w:cs="Arial"/>
        </w:rPr>
      </w:pPr>
    </w:p>
    <w:tbl>
      <w:tblPr>
        <w:tblW w:w="7280" w:type="dxa"/>
        <w:tblInd w:w="93" w:type="dxa"/>
        <w:tblLook w:firstRow="1" w:lastRow="0" w:firstColumn="1" w:lastColumn="0" w:noHBand="0" w:noVBand="1" w:val="04A0"/>
      </w:tblPr>
      <w:tblGrid>
        <w:gridCol w:w="621"/>
        <w:gridCol w:w="1600"/>
        <w:gridCol w:w="1860"/>
        <w:gridCol w:w="2200"/>
        <w:gridCol w:w="1272"/>
      </w:tblGrid>
      <w:tr w:rsidR="00885931" w:rsidTr="00885931">
        <w:trPr>
          <w:trHeight w:val="360"/>
        </w:trPr>
        <w:tc>
          <w:tcPr>
            <w:tcW w:w="3900" w:type="dxa"/>
            <w:gridSpan w:val="3"/>
            <w:tcBorders>
              <w:top w:val="nil"/>
              <w:left w:val="nil"/>
              <w:bottom w:val="nil"/>
              <w:right w:val="nil"/>
            </w:tcBorders>
            <w:shd w:val="clear" w:color="auto" w:fill="auto"/>
            <w:noWrap/>
            <w:vAlign w:val="bottom"/>
            <w:hideMark/>
          </w:tcPr>
          <w:p w:rsidR="00885931" w:rsidRDefault="00885931">
            <w:pPr>
              <w:jc w:val="center"/>
              <w:rPr>
                <w:rFonts w:ascii="Arial" w:hAnsi="Arial" w:cs="Arial"/>
                <w:b/>
                <w:bCs/>
              </w:rPr>
            </w:pPr>
            <w:r>
              <w:rPr>
                <w:rFonts w:ascii="Arial" w:hAnsi="Arial" w:cs="Arial"/>
                <w:b/>
                <w:bCs/>
              </w:rPr>
              <w:t>Zbroj ukupno priznatih tražbina nakon djelomičnog  namirenja OTP BANKE</w:t>
            </w:r>
          </w:p>
        </w:tc>
        <w:tc>
          <w:tcPr>
            <w:tcW w:w="2200" w:type="dxa"/>
            <w:tcBorders>
              <w:top w:val="nil"/>
              <w:left w:val="nil"/>
              <w:bottom w:val="nil"/>
              <w:right w:val="nil"/>
            </w:tcBorders>
            <w:shd w:val="clear" w:color="auto" w:fill="auto"/>
            <w:noWrap/>
            <w:vAlign w:val="bottom"/>
            <w:hideMark/>
          </w:tcPr>
          <w:p w:rsidR="00885931" w:rsidRDefault="00885931">
            <w:pPr>
              <w:jc w:val="right"/>
              <w:rPr>
                <w:rFonts w:ascii="Arial" w:hAnsi="Arial" w:cs="Arial"/>
                <w:b/>
                <w:bCs/>
                <w:color w:val="000000"/>
                <w:sz w:val="28"/>
                <w:szCs w:val="28"/>
              </w:rPr>
            </w:pPr>
            <w:r>
              <w:rPr>
                <w:rFonts w:ascii="Arial" w:hAnsi="Arial" w:cs="Arial"/>
                <w:b/>
                <w:bCs/>
                <w:color w:val="000000"/>
                <w:sz w:val="28"/>
                <w:szCs w:val="28"/>
              </w:rPr>
              <w:t>1.694.980,62</w:t>
            </w:r>
          </w:p>
        </w:tc>
        <w:tc>
          <w:tcPr>
            <w:tcW w:w="1180" w:type="dxa"/>
            <w:tcBorders>
              <w:top w:val="nil"/>
              <w:left w:val="nil"/>
              <w:bottom w:val="nil"/>
              <w:right w:val="nil"/>
            </w:tcBorders>
            <w:shd w:val="clear" w:color="auto" w:fill="auto"/>
            <w:noWrap/>
            <w:vAlign w:val="bottom"/>
            <w:hideMark/>
          </w:tcPr>
          <w:p w:rsidR="00885931" w:rsidRDefault="00885931">
            <w:pPr>
              <w:rPr>
                <w:rFonts w:ascii="Arial" w:hAnsi="Arial" w:cs="Arial"/>
                <w:sz w:val="20"/>
                <w:szCs w:val="20"/>
              </w:rPr>
            </w:pPr>
          </w:p>
        </w:tc>
      </w:tr>
      <w:tr w:rsidR="00885931" w:rsidTr="00885931">
        <w:trPr>
          <w:trHeight w:val="255"/>
        </w:trPr>
        <w:tc>
          <w:tcPr>
            <w:tcW w:w="440" w:type="dxa"/>
            <w:tcBorders>
              <w:top w:val="nil"/>
              <w:left w:val="nil"/>
              <w:bottom w:val="nil"/>
              <w:right w:val="nil"/>
            </w:tcBorders>
            <w:shd w:val="clear" w:color="auto" w:fill="auto"/>
            <w:noWrap/>
            <w:vAlign w:val="bottom"/>
            <w:hideMark/>
          </w:tcPr>
          <w:p w:rsidR="00885931" w:rsidRDefault="00885931">
            <w:pPr>
              <w:rPr>
                <w:rFonts w:ascii="Arial" w:hAnsi="Arial" w:cs="Arial"/>
                <w:sz w:val="20"/>
                <w:szCs w:val="20"/>
              </w:rPr>
            </w:pPr>
          </w:p>
        </w:tc>
        <w:tc>
          <w:tcPr>
            <w:tcW w:w="1600" w:type="dxa"/>
            <w:tcBorders>
              <w:top w:val="nil"/>
              <w:left w:val="nil"/>
              <w:bottom w:val="nil"/>
              <w:right w:val="nil"/>
            </w:tcBorders>
            <w:shd w:val="clear" w:color="auto" w:fill="auto"/>
            <w:noWrap/>
            <w:vAlign w:val="bottom"/>
            <w:hideMark/>
          </w:tcPr>
          <w:p w:rsidR="00885931" w:rsidRDefault="00885931">
            <w:pPr>
              <w:rPr>
                <w:rFonts w:ascii="Arial" w:hAnsi="Arial" w:cs="Arial"/>
                <w:sz w:val="20"/>
                <w:szCs w:val="20"/>
              </w:rPr>
            </w:pPr>
          </w:p>
        </w:tc>
        <w:tc>
          <w:tcPr>
            <w:tcW w:w="1860" w:type="dxa"/>
            <w:tcBorders>
              <w:top w:val="nil"/>
              <w:left w:val="nil"/>
              <w:bottom w:val="nil"/>
              <w:right w:val="nil"/>
            </w:tcBorders>
            <w:shd w:val="clear" w:color="auto" w:fill="auto"/>
            <w:noWrap/>
            <w:vAlign w:val="bottom"/>
            <w:hideMark/>
          </w:tcPr>
          <w:p w:rsidR="00885931" w:rsidRDefault="00885931">
            <w:pPr>
              <w:rPr>
                <w:rFonts w:ascii="Arial" w:hAnsi="Arial" w:cs="Arial"/>
                <w:sz w:val="20"/>
                <w:szCs w:val="20"/>
              </w:rPr>
            </w:pPr>
          </w:p>
        </w:tc>
        <w:tc>
          <w:tcPr>
            <w:tcW w:w="2200" w:type="dxa"/>
            <w:tcBorders>
              <w:top w:val="nil"/>
              <w:left w:val="nil"/>
              <w:bottom w:val="nil"/>
              <w:right w:val="nil"/>
            </w:tcBorders>
            <w:shd w:val="clear" w:color="auto" w:fill="auto"/>
            <w:noWrap/>
            <w:vAlign w:val="bottom"/>
            <w:hideMark/>
          </w:tcPr>
          <w:p w:rsidR="00885931" w:rsidRDefault="00885931">
            <w:pPr>
              <w:rPr>
                <w:rFonts w:ascii="Arial" w:hAnsi="Arial" w:cs="Arial"/>
                <w:sz w:val="20"/>
                <w:szCs w:val="20"/>
              </w:rPr>
            </w:pPr>
          </w:p>
        </w:tc>
        <w:tc>
          <w:tcPr>
            <w:tcW w:w="1180" w:type="dxa"/>
            <w:tcBorders>
              <w:top w:val="nil"/>
              <w:left w:val="nil"/>
              <w:bottom w:val="nil"/>
              <w:right w:val="nil"/>
            </w:tcBorders>
            <w:shd w:val="clear" w:color="auto" w:fill="auto"/>
            <w:noWrap/>
            <w:vAlign w:val="bottom"/>
            <w:hideMark/>
          </w:tcPr>
          <w:p w:rsidR="00885931" w:rsidRDefault="00885931">
            <w:pPr>
              <w:rPr>
                <w:rFonts w:ascii="Arial" w:hAnsi="Arial" w:cs="Arial"/>
                <w:sz w:val="20"/>
                <w:szCs w:val="20"/>
              </w:rPr>
            </w:pPr>
          </w:p>
        </w:tc>
      </w:tr>
      <w:tr w:rsidR="00885931" w:rsidTr="00885931">
        <w:trPr>
          <w:trHeight w:val="255"/>
        </w:trPr>
        <w:tc>
          <w:tcPr>
            <w:tcW w:w="440" w:type="dxa"/>
            <w:tcBorders>
              <w:top w:val="nil"/>
              <w:left w:val="nil"/>
              <w:bottom w:val="nil"/>
              <w:right w:val="nil"/>
            </w:tcBorders>
            <w:shd w:val="clear" w:color="auto" w:fill="auto"/>
            <w:noWrap/>
            <w:vAlign w:val="bottom"/>
            <w:hideMark/>
          </w:tcPr>
          <w:p w:rsidR="00885931" w:rsidRDefault="00885931">
            <w:pPr>
              <w:rPr>
                <w:rFonts w:ascii="Arial" w:hAnsi="Arial" w:cs="Arial"/>
                <w:sz w:val="20"/>
                <w:szCs w:val="20"/>
              </w:rPr>
            </w:pPr>
          </w:p>
        </w:tc>
        <w:tc>
          <w:tcPr>
            <w:tcW w:w="1600" w:type="dxa"/>
            <w:tcBorders>
              <w:top w:val="nil"/>
              <w:left w:val="nil"/>
              <w:bottom w:val="nil"/>
              <w:right w:val="nil"/>
            </w:tcBorders>
            <w:shd w:val="clear" w:color="auto" w:fill="auto"/>
            <w:noWrap/>
            <w:vAlign w:val="bottom"/>
            <w:hideMark/>
          </w:tcPr>
          <w:p w:rsidR="00885931" w:rsidRDefault="00885931">
            <w:pPr>
              <w:rPr>
                <w:rFonts w:ascii="Arial" w:hAnsi="Arial" w:cs="Arial"/>
                <w:sz w:val="20"/>
                <w:szCs w:val="20"/>
              </w:rPr>
            </w:pPr>
          </w:p>
        </w:tc>
        <w:tc>
          <w:tcPr>
            <w:tcW w:w="1860" w:type="dxa"/>
            <w:tcBorders>
              <w:top w:val="nil"/>
              <w:left w:val="nil"/>
              <w:bottom w:val="nil"/>
              <w:right w:val="nil"/>
            </w:tcBorders>
            <w:shd w:val="clear" w:color="auto" w:fill="auto"/>
            <w:noWrap/>
            <w:vAlign w:val="bottom"/>
            <w:hideMark/>
          </w:tcPr>
          <w:p w:rsidR="00885931" w:rsidRDefault="00885931">
            <w:pPr>
              <w:rPr>
                <w:rFonts w:ascii="Arial" w:hAnsi="Arial" w:cs="Arial"/>
                <w:sz w:val="20"/>
                <w:szCs w:val="20"/>
              </w:rPr>
            </w:pPr>
          </w:p>
        </w:tc>
        <w:tc>
          <w:tcPr>
            <w:tcW w:w="2200" w:type="dxa"/>
            <w:tcBorders>
              <w:top w:val="nil"/>
              <w:left w:val="nil"/>
              <w:bottom w:val="nil"/>
              <w:right w:val="nil"/>
            </w:tcBorders>
            <w:shd w:val="clear" w:color="auto" w:fill="auto"/>
            <w:noWrap/>
            <w:vAlign w:val="bottom"/>
            <w:hideMark/>
          </w:tcPr>
          <w:p w:rsidR="00885931" w:rsidRDefault="00885931">
            <w:pPr>
              <w:rPr>
                <w:rFonts w:ascii="Arial" w:hAnsi="Arial" w:cs="Arial"/>
                <w:sz w:val="20"/>
                <w:szCs w:val="20"/>
              </w:rPr>
            </w:pPr>
          </w:p>
        </w:tc>
        <w:tc>
          <w:tcPr>
            <w:tcW w:w="1180" w:type="dxa"/>
            <w:tcBorders>
              <w:top w:val="nil"/>
              <w:left w:val="nil"/>
              <w:bottom w:val="nil"/>
              <w:right w:val="nil"/>
            </w:tcBorders>
            <w:shd w:val="clear" w:color="auto" w:fill="auto"/>
            <w:noWrap/>
            <w:vAlign w:val="bottom"/>
            <w:hideMark/>
          </w:tcPr>
          <w:p w:rsidR="00885931" w:rsidRDefault="00885931">
            <w:pPr>
              <w:rPr>
                <w:rFonts w:ascii="Arial" w:hAnsi="Arial" w:cs="Arial"/>
                <w:sz w:val="20"/>
                <w:szCs w:val="20"/>
              </w:rPr>
            </w:pPr>
          </w:p>
        </w:tc>
      </w:tr>
      <w:tr w:rsidR="00885931" w:rsidTr="00885931">
        <w:trPr>
          <w:trHeight w:val="300"/>
        </w:trPr>
        <w:tc>
          <w:tcPr>
            <w:tcW w:w="440" w:type="dxa"/>
            <w:tcBorders>
              <w:top w:val="nil"/>
              <w:left w:val="nil"/>
              <w:bottom w:val="nil"/>
              <w:right w:val="nil"/>
            </w:tcBorders>
            <w:shd w:val="clear" w:color="auto" w:fill="auto"/>
            <w:noWrap/>
            <w:vAlign w:val="bottom"/>
            <w:hideMark/>
          </w:tcPr>
          <w:p w:rsidR="00885931" w:rsidRDefault="00885931">
            <w:pPr>
              <w:rPr>
                <w:rFonts w:ascii="Arial" w:hAnsi="Arial" w:cs="Arial"/>
                <w:sz w:val="20"/>
                <w:szCs w:val="20"/>
              </w:rPr>
            </w:pPr>
          </w:p>
        </w:tc>
        <w:tc>
          <w:tcPr>
            <w:tcW w:w="1600" w:type="dxa"/>
            <w:tcBorders>
              <w:top w:val="nil"/>
              <w:left w:val="nil"/>
              <w:bottom w:val="nil"/>
              <w:right w:val="nil"/>
            </w:tcBorders>
            <w:shd w:val="clear" w:color="auto" w:fill="auto"/>
            <w:noWrap/>
            <w:vAlign w:val="bottom"/>
            <w:hideMark/>
          </w:tcPr>
          <w:p w:rsidR="00885931" w:rsidRDefault="00885931">
            <w:pPr>
              <w:rPr>
                <w:rFonts w:ascii="Arial" w:hAnsi="Arial" w:cs="Arial"/>
                <w:sz w:val="20"/>
                <w:szCs w:val="20"/>
              </w:rPr>
            </w:pPr>
            <w:r>
              <w:rPr>
                <w:rFonts w:ascii="Arial" w:hAnsi="Arial" w:cs="Arial"/>
                <w:sz w:val="20"/>
                <w:szCs w:val="20"/>
              </w:rPr>
              <w:t>.</w:t>
            </w:r>
          </w:p>
        </w:tc>
        <w:tc>
          <w:tcPr>
            <w:tcW w:w="1860" w:type="dxa"/>
            <w:tcBorders>
              <w:top w:val="nil"/>
              <w:left w:val="nil"/>
              <w:bottom w:val="nil"/>
              <w:right w:val="nil"/>
            </w:tcBorders>
            <w:shd w:val="clear" w:color="auto" w:fill="auto"/>
            <w:noWrap/>
            <w:vAlign w:val="bottom"/>
            <w:hideMark/>
          </w:tcPr>
          <w:p w:rsidR="00885931" w:rsidRDefault="00885931">
            <w:pPr>
              <w:jc w:val="right"/>
              <w:rPr>
                <w:rFonts w:ascii="Arial" w:hAnsi="Arial" w:cs="Arial"/>
                <w:b/>
                <w:bCs/>
                <w:i/>
                <w:iCs/>
                <w:color w:val="FF0000"/>
              </w:rPr>
            </w:pPr>
            <w:r>
              <w:rPr>
                <w:rFonts w:ascii="Arial" w:hAnsi="Arial" w:cs="Arial"/>
                <w:b/>
                <w:bCs/>
                <w:i/>
                <w:iCs/>
                <w:color w:val="FF0000"/>
              </w:rPr>
              <w:t>1.594.805,05</w:t>
            </w:r>
          </w:p>
        </w:tc>
        <w:tc>
          <w:tcPr>
            <w:tcW w:w="2200" w:type="dxa"/>
            <w:tcBorders>
              <w:top w:val="nil"/>
              <w:left w:val="nil"/>
              <w:bottom w:val="nil"/>
              <w:right w:val="nil"/>
            </w:tcBorders>
            <w:shd w:val="clear" w:color="auto" w:fill="auto"/>
            <w:noWrap/>
            <w:vAlign w:val="bottom"/>
            <w:hideMark/>
          </w:tcPr>
          <w:p w:rsidR="00885931" w:rsidRDefault="00885931">
            <w:pPr>
              <w:jc w:val="center"/>
              <w:rPr>
                <w:rFonts w:ascii="Arial" w:hAnsi="Arial" w:cs="Arial"/>
                <w:b/>
                <w:bCs/>
                <w:i/>
                <w:iCs/>
                <w:color w:val="993300"/>
              </w:rPr>
            </w:pPr>
            <w:r>
              <w:rPr>
                <w:rFonts w:ascii="Arial" w:hAnsi="Arial" w:cs="Arial"/>
                <w:b/>
                <w:bCs/>
                <w:i/>
                <w:iCs/>
                <w:color w:val="993300"/>
              </w:rPr>
              <w:t>94,09</w:t>
            </w:r>
          </w:p>
        </w:tc>
        <w:tc>
          <w:tcPr>
            <w:tcW w:w="1180" w:type="dxa"/>
            <w:tcBorders>
              <w:top w:val="nil"/>
              <w:left w:val="nil"/>
              <w:bottom w:val="nil"/>
              <w:right w:val="nil"/>
            </w:tcBorders>
            <w:shd w:val="clear" w:color="auto" w:fill="auto"/>
            <w:noWrap/>
            <w:vAlign w:val="bottom"/>
            <w:hideMark/>
          </w:tcPr>
          <w:p w:rsidR="00885931" w:rsidRDefault="00885931">
            <w:pPr>
              <w:jc w:val="center"/>
              <w:rPr>
                <w:rFonts w:ascii="Arial" w:hAnsi="Arial" w:cs="Arial"/>
                <w:b/>
                <w:bCs/>
                <w:i/>
                <w:iCs/>
                <w:color w:val="0000FF"/>
              </w:rPr>
            </w:pPr>
            <w:r>
              <w:rPr>
                <w:rFonts w:ascii="Arial" w:hAnsi="Arial" w:cs="Arial"/>
                <w:b/>
                <w:bCs/>
                <w:i/>
                <w:iCs/>
                <w:color w:val="0000FF"/>
              </w:rPr>
              <w:t>100,00</w:t>
            </w:r>
          </w:p>
        </w:tc>
      </w:tr>
      <w:tr w:rsidR="00885931" w:rsidTr="00885931">
        <w:trPr>
          <w:trHeight w:val="322"/>
        </w:trPr>
        <w:tc>
          <w:tcPr>
            <w:tcW w:w="440" w:type="dxa"/>
            <w:vMerge w:val="restart"/>
            <w:tcBorders>
              <w:top w:val="nil"/>
              <w:left w:val="nil"/>
              <w:bottom w:val="nil"/>
              <w:right w:val="nil"/>
            </w:tcBorders>
            <w:shd w:val="clear" w:color="auto" w:fill="auto"/>
            <w:vAlign w:val="center"/>
            <w:hideMark/>
          </w:tcPr>
          <w:p w:rsidR="00885931" w:rsidRDefault="00885931">
            <w:pPr>
              <w:jc w:val="center"/>
              <w:rPr>
                <w:rFonts w:ascii="Arial" w:hAnsi="Arial" w:cs="Arial"/>
                <w:b/>
                <w:bCs/>
                <w:sz w:val="28"/>
                <w:szCs w:val="28"/>
              </w:rPr>
            </w:pPr>
            <w:r>
              <w:rPr>
                <w:rFonts w:ascii="Arial" w:hAnsi="Arial" w:cs="Arial"/>
                <w:b/>
                <w:bCs/>
                <w:sz w:val="28"/>
                <w:szCs w:val="28"/>
              </w:rPr>
              <w:t>RB</w:t>
            </w:r>
          </w:p>
        </w:tc>
        <w:tc>
          <w:tcPr>
            <w:tcW w:w="1600" w:type="dxa"/>
            <w:vMerge w:val="restart"/>
            <w:tcBorders>
              <w:top w:val="nil"/>
              <w:left w:val="nil"/>
              <w:bottom w:val="nil"/>
              <w:right w:val="nil"/>
            </w:tcBorders>
            <w:shd w:val="clear" w:color="auto" w:fill="auto"/>
            <w:vAlign w:val="center"/>
            <w:hideMark/>
          </w:tcPr>
          <w:p w:rsidR="00885931" w:rsidRDefault="00885931">
            <w:pPr>
              <w:jc w:val="center"/>
              <w:rPr>
                <w:rFonts w:ascii="Arial" w:hAnsi="Arial" w:cs="Arial"/>
                <w:b/>
                <w:bCs/>
                <w:sz w:val="22"/>
                <w:szCs w:val="22"/>
              </w:rPr>
            </w:pPr>
            <w:r>
              <w:rPr>
                <w:rFonts w:ascii="Arial" w:hAnsi="Arial" w:cs="Arial"/>
                <w:b/>
                <w:bCs/>
                <w:sz w:val="22"/>
                <w:szCs w:val="22"/>
              </w:rPr>
              <w:t>Prisutni  na SKUPŠTINI</w:t>
            </w:r>
          </w:p>
        </w:tc>
        <w:tc>
          <w:tcPr>
            <w:tcW w:w="1860" w:type="dxa"/>
            <w:vMerge w:val="restart"/>
            <w:tcBorders>
              <w:top w:val="nil"/>
              <w:left w:val="nil"/>
              <w:bottom w:val="nil"/>
              <w:right w:val="nil"/>
            </w:tcBorders>
            <w:shd w:val="clear" w:color="auto" w:fill="auto"/>
            <w:vAlign w:val="center"/>
            <w:hideMark/>
          </w:tcPr>
          <w:p w:rsidR="00885931" w:rsidRDefault="00885931">
            <w:pPr>
              <w:jc w:val="center"/>
              <w:rPr>
                <w:rFonts w:ascii="Arial" w:hAnsi="Arial" w:cs="Arial"/>
                <w:b/>
                <w:bCs/>
                <w:color w:val="FF0000"/>
                <w:sz w:val="28"/>
                <w:szCs w:val="28"/>
              </w:rPr>
            </w:pPr>
            <w:r>
              <w:rPr>
                <w:rFonts w:ascii="Arial" w:hAnsi="Arial" w:cs="Arial"/>
                <w:b/>
                <w:bCs/>
                <w:color w:val="FF0000"/>
                <w:sz w:val="28"/>
                <w:szCs w:val="28"/>
              </w:rPr>
              <w:t>Tražbina</w:t>
            </w:r>
          </w:p>
        </w:tc>
        <w:tc>
          <w:tcPr>
            <w:tcW w:w="2200" w:type="dxa"/>
            <w:vMerge w:val="restart"/>
            <w:tcBorders>
              <w:top w:val="nil"/>
              <w:left w:val="nil"/>
              <w:bottom w:val="nil"/>
              <w:right w:val="nil"/>
            </w:tcBorders>
            <w:shd w:val="clear" w:color="auto" w:fill="auto"/>
            <w:vAlign w:val="center"/>
            <w:hideMark/>
          </w:tcPr>
          <w:p w:rsidR="00885931" w:rsidRDefault="00885931">
            <w:pPr>
              <w:jc w:val="center"/>
              <w:rPr>
                <w:rFonts w:ascii="Arial" w:hAnsi="Arial" w:cs="Arial"/>
                <w:b/>
                <w:bCs/>
                <w:color w:val="993300"/>
                <w:sz w:val="28"/>
                <w:szCs w:val="28"/>
              </w:rPr>
            </w:pPr>
            <w:r>
              <w:rPr>
                <w:rFonts w:ascii="Arial" w:hAnsi="Arial" w:cs="Arial"/>
                <w:b/>
                <w:bCs/>
                <w:color w:val="993300"/>
                <w:sz w:val="28"/>
                <w:szCs w:val="28"/>
              </w:rPr>
              <w:t>Postotak</w:t>
            </w:r>
          </w:p>
        </w:tc>
        <w:tc>
          <w:tcPr>
            <w:tcW w:w="1180" w:type="dxa"/>
            <w:vMerge w:val="restart"/>
            <w:tcBorders>
              <w:top w:val="nil"/>
              <w:left w:val="nil"/>
              <w:bottom w:val="nil"/>
              <w:right w:val="nil"/>
            </w:tcBorders>
            <w:shd w:val="clear" w:color="auto" w:fill="auto"/>
            <w:vAlign w:val="center"/>
            <w:hideMark/>
          </w:tcPr>
          <w:p w:rsidR="00885931" w:rsidRDefault="00885931">
            <w:pPr>
              <w:jc w:val="center"/>
              <w:rPr>
                <w:rFonts w:ascii="Arial" w:hAnsi="Arial" w:cs="Arial"/>
                <w:color w:val="0000FF"/>
                <w:sz w:val="20"/>
                <w:szCs w:val="20"/>
              </w:rPr>
            </w:pPr>
            <w:r>
              <w:rPr>
                <w:rFonts w:ascii="Arial" w:hAnsi="Arial" w:cs="Arial"/>
                <w:color w:val="0000FF"/>
                <w:sz w:val="20"/>
                <w:szCs w:val="20"/>
              </w:rPr>
              <w:t>Glasovi  na SKUPŠTINI</w:t>
            </w:r>
          </w:p>
        </w:tc>
      </w:tr>
      <w:tr w:rsidR="00885931" w:rsidTr="00885931">
        <w:trPr>
          <w:trHeight w:val="480"/>
        </w:trPr>
        <w:tc>
          <w:tcPr>
            <w:tcW w:w="440" w:type="dxa"/>
            <w:vMerge/>
            <w:tcBorders>
              <w:top w:val="nil"/>
              <w:left w:val="nil"/>
              <w:bottom w:val="nil"/>
              <w:right w:val="nil"/>
            </w:tcBorders>
            <w:vAlign w:val="center"/>
            <w:hideMark/>
          </w:tcPr>
          <w:p w:rsidR="00885931" w:rsidRDefault="00885931">
            <w:pPr>
              <w:rPr>
                <w:rFonts w:ascii="Arial" w:hAnsi="Arial" w:cs="Arial"/>
                <w:b/>
                <w:bCs/>
                <w:sz w:val="28"/>
                <w:szCs w:val="28"/>
              </w:rPr>
            </w:pPr>
          </w:p>
        </w:tc>
        <w:tc>
          <w:tcPr>
            <w:tcW w:w="1600" w:type="dxa"/>
            <w:vMerge/>
            <w:tcBorders>
              <w:top w:val="nil"/>
              <w:left w:val="nil"/>
              <w:bottom w:val="nil"/>
              <w:right w:val="nil"/>
            </w:tcBorders>
            <w:vAlign w:val="center"/>
            <w:hideMark/>
          </w:tcPr>
          <w:p w:rsidR="00885931" w:rsidRDefault="00885931">
            <w:pPr>
              <w:rPr>
                <w:rFonts w:ascii="Arial" w:hAnsi="Arial" w:cs="Arial"/>
                <w:b/>
                <w:bCs/>
                <w:sz w:val="22"/>
                <w:szCs w:val="22"/>
              </w:rPr>
            </w:pPr>
          </w:p>
        </w:tc>
        <w:tc>
          <w:tcPr>
            <w:tcW w:w="1860" w:type="dxa"/>
            <w:vMerge/>
            <w:tcBorders>
              <w:top w:val="nil"/>
              <w:left w:val="nil"/>
              <w:bottom w:val="nil"/>
              <w:right w:val="nil"/>
            </w:tcBorders>
            <w:vAlign w:val="center"/>
            <w:hideMark/>
          </w:tcPr>
          <w:p w:rsidR="00885931" w:rsidRDefault="00885931">
            <w:pPr>
              <w:rPr>
                <w:rFonts w:ascii="Arial" w:hAnsi="Arial" w:cs="Arial"/>
                <w:b/>
                <w:bCs/>
                <w:color w:val="FF0000"/>
                <w:sz w:val="28"/>
                <w:szCs w:val="28"/>
              </w:rPr>
            </w:pPr>
          </w:p>
        </w:tc>
        <w:tc>
          <w:tcPr>
            <w:tcW w:w="2200" w:type="dxa"/>
            <w:vMerge/>
            <w:tcBorders>
              <w:top w:val="nil"/>
              <w:left w:val="nil"/>
              <w:bottom w:val="nil"/>
              <w:right w:val="nil"/>
            </w:tcBorders>
            <w:vAlign w:val="center"/>
            <w:hideMark/>
          </w:tcPr>
          <w:p w:rsidR="00885931" w:rsidRDefault="00885931">
            <w:pPr>
              <w:rPr>
                <w:rFonts w:ascii="Arial" w:hAnsi="Arial" w:cs="Arial"/>
                <w:b/>
                <w:bCs/>
                <w:color w:val="993300"/>
                <w:sz w:val="28"/>
                <w:szCs w:val="28"/>
              </w:rPr>
            </w:pPr>
          </w:p>
        </w:tc>
        <w:tc>
          <w:tcPr>
            <w:tcW w:w="1180" w:type="dxa"/>
            <w:vMerge/>
            <w:tcBorders>
              <w:top w:val="nil"/>
              <w:left w:val="nil"/>
              <w:bottom w:val="nil"/>
              <w:right w:val="nil"/>
            </w:tcBorders>
            <w:vAlign w:val="center"/>
            <w:hideMark/>
          </w:tcPr>
          <w:p w:rsidR="00885931" w:rsidRDefault="00885931">
            <w:pPr>
              <w:rPr>
                <w:rFonts w:ascii="Arial" w:hAnsi="Arial" w:cs="Arial"/>
                <w:color w:val="0000FF"/>
                <w:sz w:val="20"/>
                <w:szCs w:val="20"/>
              </w:rPr>
            </w:pPr>
          </w:p>
        </w:tc>
      </w:tr>
      <w:tr w:rsidR="00885931" w:rsidTr="00885931">
        <w:trPr>
          <w:trHeight w:val="315"/>
        </w:trPr>
        <w:tc>
          <w:tcPr>
            <w:tcW w:w="440" w:type="dxa"/>
            <w:tcBorders>
              <w:top w:val="nil"/>
              <w:left w:val="nil"/>
              <w:bottom w:val="nil"/>
              <w:right w:val="nil"/>
            </w:tcBorders>
            <w:shd w:val="clear" w:color="auto" w:fill="auto"/>
            <w:noWrap/>
            <w:vAlign w:val="bottom"/>
            <w:hideMark/>
          </w:tcPr>
          <w:p w:rsidR="00885931" w:rsidRDefault="00885931">
            <w:pPr>
              <w:jc w:val="right"/>
              <w:rPr>
                <w:rFonts w:ascii="Arial" w:hAnsi="Arial" w:cs="Arial"/>
                <w:sz w:val="20"/>
                <w:szCs w:val="20"/>
              </w:rPr>
            </w:pPr>
            <w:r>
              <w:rPr>
                <w:rFonts w:ascii="Arial" w:hAnsi="Arial" w:cs="Arial"/>
                <w:sz w:val="20"/>
                <w:szCs w:val="20"/>
              </w:rPr>
              <w:t>1</w:t>
            </w:r>
          </w:p>
        </w:tc>
        <w:tc>
          <w:tcPr>
            <w:tcW w:w="1600" w:type="dxa"/>
            <w:tcBorders>
              <w:top w:val="nil"/>
              <w:left w:val="nil"/>
              <w:bottom w:val="nil"/>
              <w:right w:val="nil"/>
            </w:tcBorders>
            <w:shd w:val="clear" w:color="auto" w:fill="auto"/>
            <w:noWrap/>
            <w:vAlign w:val="bottom"/>
            <w:hideMark/>
          </w:tcPr>
          <w:p w:rsidR="00885931" w:rsidRDefault="00885931">
            <w:pPr>
              <w:rPr>
                <w:rFonts w:ascii="Arial" w:hAnsi="Arial" w:cs="Arial"/>
                <w:sz w:val="20"/>
                <w:szCs w:val="20"/>
              </w:rPr>
            </w:pPr>
            <w:r>
              <w:rPr>
                <w:rFonts w:ascii="Arial" w:hAnsi="Arial" w:cs="Arial"/>
                <w:sz w:val="20"/>
                <w:szCs w:val="20"/>
              </w:rPr>
              <w:t>OTP</w:t>
            </w:r>
          </w:p>
        </w:tc>
        <w:tc>
          <w:tcPr>
            <w:tcW w:w="1860" w:type="dxa"/>
            <w:tcBorders>
              <w:top w:val="nil"/>
              <w:left w:val="nil"/>
              <w:bottom w:val="nil"/>
              <w:right w:val="nil"/>
            </w:tcBorders>
            <w:shd w:val="clear" w:color="auto" w:fill="auto"/>
            <w:noWrap/>
            <w:vAlign w:val="bottom"/>
            <w:hideMark/>
          </w:tcPr>
          <w:p w:rsidR="00885931" w:rsidRDefault="00885931">
            <w:pPr>
              <w:jc w:val="right"/>
            </w:pPr>
            <w:r>
              <w:t>1.536.500,39</w:t>
            </w:r>
          </w:p>
        </w:tc>
        <w:tc>
          <w:tcPr>
            <w:tcW w:w="2200" w:type="dxa"/>
            <w:tcBorders>
              <w:top w:val="nil"/>
              <w:left w:val="nil"/>
              <w:bottom w:val="nil"/>
              <w:right w:val="nil"/>
            </w:tcBorders>
            <w:shd w:val="clear" w:color="auto" w:fill="auto"/>
            <w:noWrap/>
            <w:vAlign w:val="bottom"/>
            <w:hideMark/>
          </w:tcPr>
          <w:p w:rsidR="00885931" w:rsidRDefault="00885931">
            <w:pPr>
              <w:jc w:val="center"/>
              <w:rPr>
                <w:rFonts w:ascii="Arial" w:hAnsi="Arial" w:cs="Arial"/>
                <w:sz w:val="20"/>
                <w:szCs w:val="20"/>
              </w:rPr>
            </w:pPr>
            <w:r>
              <w:rPr>
                <w:rFonts w:ascii="Arial" w:hAnsi="Arial" w:cs="Arial"/>
                <w:sz w:val="20"/>
                <w:szCs w:val="20"/>
              </w:rPr>
              <w:t>90,65</w:t>
            </w:r>
          </w:p>
        </w:tc>
        <w:tc>
          <w:tcPr>
            <w:tcW w:w="1180" w:type="dxa"/>
            <w:tcBorders>
              <w:top w:val="nil"/>
              <w:left w:val="nil"/>
              <w:bottom w:val="nil"/>
              <w:right w:val="nil"/>
            </w:tcBorders>
            <w:shd w:val="clear" w:color="auto" w:fill="auto"/>
            <w:noWrap/>
            <w:vAlign w:val="bottom"/>
            <w:hideMark/>
          </w:tcPr>
          <w:p w:rsidR="00885931" w:rsidRDefault="00885931">
            <w:pPr>
              <w:jc w:val="center"/>
              <w:rPr>
                <w:rFonts w:ascii="Arial" w:hAnsi="Arial" w:cs="Arial"/>
                <w:sz w:val="20"/>
                <w:szCs w:val="20"/>
              </w:rPr>
            </w:pPr>
            <w:r>
              <w:rPr>
                <w:rFonts w:ascii="Arial" w:hAnsi="Arial" w:cs="Arial"/>
                <w:sz w:val="20"/>
                <w:szCs w:val="20"/>
              </w:rPr>
              <w:t>96,34</w:t>
            </w:r>
          </w:p>
        </w:tc>
      </w:tr>
      <w:tr w:rsidR="00885931" w:rsidTr="00885931">
        <w:trPr>
          <w:trHeight w:val="255"/>
        </w:trPr>
        <w:tc>
          <w:tcPr>
            <w:tcW w:w="440" w:type="dxa"/>
            <w:tcBorders>
              <w:top w:val="nil"/>
              <w:left w:val="nil"/>
              <w:bottom w:val="nil"/>
              <w:right w:val="nil"/>
            </w:tcBorders>
            <w:shd w:val="clear" w:color="auto" w:fill="auto"/>
            <w:noWrap/>
            <w:vAlign w:val="bottom"/>
            <w:hideMark/>
          </w:tcPr>
          <w:p w:rsidR="00885931" w:rsidRDefault="00885931">
            <w:pPr>
              <w:jc w:val="right"/>
              <w:rPr>
                <w:rFonts w:ascii="Arial" w:hAnsi="Arial" w:cs="Arial"/>
                <w:sz w:val="20"/>
                <w:szCs w:val="20"/>
              </w:rPr>
            </w:pPr>
            <w:r>
              <w:rPr>
                <w:rFonts w:ascii="Arial" w:hAnsi="Arial" w:cs="Arial"/>
                <w:sz w:val="20"/>
                <w:szCs w:val="20"/>
              </w:rPr>
              <w:t>2</w:t>
            </w:r>
          </w:p>
        </w:tc>
        <w:tc>
          <w:tcPr>
            <w:tcW w:w="1600" w:type="dxa"/>
            <w:tcBorders>
              <w:top w:val="nil"/>
              <w:left w:val="nil"/>
              <w:bottom w:val="nil"/>
              <w:right w:val="nil"/>
            </w:tcBorders>
            <w:shd w:val="clear" w:color="auto" w:fill="auto"/>
            <w:noWrap/>
            <w:vAlign w:val="bottom"/>
            <w:hideMark/>
          </w:tcPr>
          <w:p w:rsidR="00885931" w:rsidRDefault="00885931">
            <w:pPr>
              <w:rPr>
                <w:rFonts w:ascii="Arial" w:hAnsi="Arial" w:cs="Arial"/>
                <w:sz w:val="20"/>
                <w:szCs w:val="20"/>
              </w:rPr>
            </w:pPr>
            <w:r>
              <w:rPr>
                <w:rFonts w:ascii="Arial" w:hAnsi="Arial" w:cs="Arial"/>
                <w:sz w:val="20"/>
                <w:szCs w:val="20"/>
              </w:rPr>
              <w:t>ZELENI GRAD</w:t>
            </w:r>
          </w:p>
        </w:tc>
        <w:tc>
          <w:tcPr>
            <w:tcW w:w="1860" w:type="dxa"/>
            <w:tcBorders>
              <w:top w:val="nil"/>
              <w:left w:val="nil"/>
              <w:bottom w:val="nil"/>
              <w:right w:val="nil"/>
            </w:tcBorders>
            <w:shd w:val="clear" w:color="auto" w:fill="auto"/>
            <w:noWrap/>
            <w:vAlign w:val="bottom"/>
            <w:hideMark/>
          </w:tcPr>
          <w:p w:rsidR="00885931" w:rsidRDefault="00885931">
            <w:pPr>
              <w:jc w:val="right"/>
              <w:rPr>
                <w:rFonts w:ascii="Arial" w:hAnsi="Arial" w:cs="Arial"/>
                <w:sz w:val="20"/>
                <w:szCs w:val="20"/>
              </w:rPr>
            </w:pPr>
            <w:r>
              <w:rPr>
                <w:rFonts w:ascii="Arial" w:hAnsi="Arial" w:cs="Arial"/>
                <w:sz w:val="20"/>
                <w:szCs w:val="20"/>
              </w:rPr>
              <w:t>58.304,66</w:t>
            </w:r>
          </w:p>
        </w:tc>
        <w:tc>
          <w:tcPr>
            <w:tcW w:w="2200" w:type="dxa"/>
            <w:tcBorders>
              <w:top w:val="nil"/>
              <w:left w:val="nil"/>
              <w:bottom w:val="nil"/>
              <w:right w:val="nil"/>
            </w:tcBorders>
            <w:shd w:val="clear" w:color="auto" w:fill="auto"/>
            <w:noWrap/>
            <w:vAlign w:val="bottom"/>
            <w:hideMark/>
          </w:tcPr>
          <w:p w:rsidR="00885931" w:rsidRDefault="00885931">
            <w:pPr>
              <w:jc w:val="center"/>
              <w:rPr>
                <w:rFonts w:ascii="Arial" w:hAnsi="Arial" w:cs="Arial"/>
                <w:sz w:val="20"/>
                <w:szCs w:val="20"/>
              </w:rPr>
            </w:pPr>
            <w:r>
              <w:rPr>
                <w:rFonts w:ascii="Arial" w:hAnsi="Arial" w:cs="Arial"/>
                <w:sz w:val="20"/>
                <w:szCs w:val="20"/>
              </w:rPr>
              <w:t>3,44</w:t>
            </w:r>
          </w:p>
        </w:tc>
        <w:tc>
          <w:tcPr>
            <w:tcW w:w="1180" w:type="dxa"/>
            <w:tcBorders>
              <w:top w:val="nil"/>
              <w:left w:val="nil"/>
              <w:bottom w:val="nil"/>
              <w:right w:val="nil"/>
            </w:tcBorders>
            <w:shd w:val="clear" w:color="auto" w:fill="auto"/>
            <w:noWrap/>
            <w:vAlign w:val="bottom"/>
            <w:hideMark/>
          </w:tcPr>
          <w:p w:rsidR="00885931" w:rsidRDefault="00885931">
            <w:pPr>
              <w:jc w:val="center"/>
              <w:rPr>
                <w:rFonts w:ascii="Arial" w:hAnsi="Arial" w:cs="Arial"/>
                <w:sz w:val="20"/>
                <w:szCs w:val="20"/>
              </w:rPr>
            </w:pPr>
            <w:r>
              <w:rPr>
                <w:rFonts w:ascii="Arial" w:hAnsi="Arial" w:cs="Arial"/>
                <w:sz w:val="20"/>
                <w:szCs w:val="20"/>
              </w:rPr>
              <w:t>3,66</w:t>
            </w:r>
          </w:p>
        </w:tc>
      </w:tr>
    </w:tbl>
    <w:p w:rsidRPr="006755E6" w:rsidR="00AE3876" w:rsidP="00F71208" w:rsidRDefault="00AE3876">
      <w:pPr>
        <w:jc w:val="both"/>
        <w:rPr>
          <w:rFonts w:ascii="Arial" w:hAnsi="Arial" w:cs="Arial"/>
        </w:rPr>
      </w:pPr>
    </w:p>
    <w:p w:rsidRPr="006755E6" w:rsidR="001648F1" w:rsidP="001648F1" w:rsidRDefault="009E003C">
      <w:pPr>
        <w:jc w:val="both"/>
        <w:rPr>
          <w:rFonts w:ascii="Arial" w:hAnsi="Arial" w:cs="Arial"/>
        </w:rPr>
      </w:pPr>
      <w:r w:rsidRPr="006755E6">
        <w:rPr>
          <w:rFonts w:ascii="Arial" w:hAnsi="Arial" w:cs="Arial"/>
        </w:rPr>
        <w:t>Utvrđuje se da je oglas o održavanju današnje skupštine vjerovnika objavljen</w:t>
      </w:r>
      <w:r w:rsidRPr="006755E6" w:rsidR="002316EC">
        <w:rPr>
          <w:rFonts w:ascii="Arial" w:hAnsi="Arial" w:cs="Arial"/>
        </w:rPr>
        <w:t xml:space="preserve"> na e-oglasnoj ploči suda</w:t>
      </w:r>
      <w:r w:rsidRPr="006755E6">
        <w:rPr>
          <w:rFonts w:ascii="Arial" w:hAnsi="Arial" w:cs="Arial"/>
        </w:rPr>
        <w:t xml:space="preserve"> </w:t>
      </w:r>
      <w:r w:rsidRPr="006755E6" w:rsidR="002316EC">
        <w:rPr>
          <w:rFonts w:ascii="Arial" w:hAnsi="Arial" w:cs="Arial"/>
        </w:rPr>
        <w:t>dana</w:t>
      </w:r>
      <w:r w:rsidRPr="006755E6" w:rsidR="002950DD">
        <w:rPr>
          <w:rFonts w:ascii="Arial" w:hAnsi="Arial" w:cs="Arial"/>
        </w:rPr>
        <w:t xml:space="preserve"> </w:t>
      </w:r>
      <w:r w:rsidR="00C04688">
        <w:rPr>
          <w:rFonts w:ascii="Arial" w:hAnsi="Arial" w:cs="Arial"/>
        </w:rPr>
        <w:t>11</w:t>
      </w:r>
      <w:r w:rsidRPr="006755E6" w:rsidR="00651E9B">
        <w:rPr>
          <w:rFonts w:ascii="Arial" w:hAnsi="Arial" w:cs="Arial"/>
        </w:rPr>
        <w:t xml:space="preserve">. </w:t>
      </w:r>
      <w:r w:rsidR="00C04688">
        <w:rPr>
          <w:rFonts w:ascii="Arial" w:hAnsi="Arial" w:cs="Arial"/>
        </w:rPr>
        <w:t>kolovoza</w:t>
      </w:r>
      <w:r w:rsidRPr="006755E6" w:rsidR="007F4CE7">
        <w:rPr>
          <w:rFonts w:ascii="Arial" w:hAnsi="Arial" w:cs="Arial"/>
        </w:rPr>
        <w:t xml:space="preserve"> 2021</w:t>
      </w:r>
      <w:r w:rsidRPr="006755E6" w:rsidR="005F0790">
        <w:rPr>
          <w:rFonts w:ascii="Arial" w:hAnsi="Arial" w:cs="Arial"/>
        </w:rPr>
        <w:t>.</w:t>
      </w:r>
      <w:r w:rsidRPr="006755E6" w:rsidR="00E4499D">
        <w:rPr>
          <w:rFonts w:ascii="Arial" w:hAnsi="Arial" w:cs="Arial"/>
        </w:rPr>
        <w:t xml:space="preserve"> </w:t>
      </w:r>
      <w:r w:rsidRPr="006755E6">
        <w:rPr>
          <w:rFonts w:ascii="Arial" w:hAnsi="Arial" w:cs="Arial"/>
        </w:rPr>
        <w:t>sa dnevnim redom</w:t>
      </w:r>
      <w:r w:rsidRPr="006755E6" w:rsidR="001648F1">
        <w:rPr>
          <w:rFonts w:ascii="Arial" w:hAnsi="Arial" w:cs="Arial"/>
        </w:rPr>
        <w:t>:</w:t>
      </w:r>
    </w:p>
    <w:p w:rsidRPr="006755E6" w:rsidR="00F560DB" w:rsidP="001648F1" w:rsidRDefault="00F560DB">
      <w:pPr>
        <w:jc w:val="both"/>
        <w:rPr>
          <w:rFonts w:ascii="Arial" w:hAnsi="Arial" w:cs="Arial"/>
        </w:rPr>
      </w:pPr>
    </w:p>
    <w:p w:rsidR="00C04688" w:rsidP="00C04688" w:rsidRDefault="00C04688">
      <w:pPr>
        <w:pStyle w:val="Odlomakpopisa"/>
        <w:numPr>
          <w:ilvl w:val="0"/>
          <w:numId w:val="21"/>
        </w:numPr>
        <w:jc w:val="both"/>
        <w:rPr>
          <w:rFonts w:ascii="Arial" w:hAnsi="Arial" w:cs="Arial"/>
        </w:rPr>
      </w:pPr>
      <w:r w:rsidRPr="008F370D">
        <w:rPr>
          <w:rFonts w:ascii="Arial" w:hAnsi="Arial" w:cs="Arial"/>
        </w:rPr>
        <w:t xml:space="preserve">Donošenje odluke o </w:t>
      </w:r>
      <w:r>
        <w:rPr>
          <w:rFonts w:ascii="Arial" w:hAnsi="Arial" w:cs="Arial"/>
        </w:rPr>
        <w:t>načinu i uvjetima zbrinjavanja pokretnina stečajnog dužnika do unovčenja istih.</w:t>
      </w:r>
    </w:p>
    <w:p w:rsidRPr="008F370D" w:rsidR="00C04688" w:rsidP="00C04688" w:rsidRDefault="00C04688">
      <w:pPr>
        <w:pStyle w:val="Odlomakpopisa"/>
        <w:numPr>
          <w:ilvl w:val="0"/>
          <w:numId w:val="21"/>
        </w:numPr>
        <w:jc w:val="both"/>
        <w:rPr>
          <w:rFonts w:ascii="Arial" w:hAnsi="Arial" w:cs="Arial"/>
        </w:rPr>
      </w:pPr>
      <w:r>
        <w:rPr>
          <w:rFonts w:ascii="Arial" w:hAnsi="Arial" w:cs="Arial"/>
        </w:rPr>
        <w:t>Donošenje odluke o načinu i uvjetima unovčenja preostalih nekretnina i pokretnina stečajnog dužnika.</w:t>
      </w:r>
    </w:p>
    <w:p w:rsidR="00293847" w:rsidP="006755E6" w:rsidRDefault="00293847">
      <w:pPr>
        <w:jc w:val="both"/>
        <w:rPr>
          <w:rFonts w:ascii="Arial" w:hAnsi="Arial" w:cs="Arial"/>
        </w:rPr>
      </w:pPr>
    </w:p>
    <w:p w:rsidR="00885931" w:rsidP="006755E6" w:rsidRDefault="00885931">
      <w:pPr>
        <w:jc w:val="both"/>
        <w:rPr>
          <w:rFonts w:ascii="Arial" w:hAnsi="Arial" w:cs="Arial"/>
        </w:rPr>
      </w:pPr>
      <w:r>
        <w:rPr>
          <w:rFonts w:ascii="Arial" w:hAnsi="Arial" w:cs="Arial"/>
        </w:rPr>
        <w:t>Ad1.</w:t>
      </w:r>
    </w:p>
    <w:p w:rsidR="00885931" w:rsidP="006755E6" w:rsidRDefault="00885931">
      <w:pPr>
        <w:jc w:val="both"/>
        <w:rPr>
          <w:rFonts w:ascii="Arial" w:hAnsi="Arial" w:cs="Arial"/>
        </w:rPr>
      </w:pPr>
    </w:p>
    <w:p w:rsidR="00885931" w:rsidP="006755E6" w:rsidRDefault="00885931">
      <w:pPr>
        <w:jc w:val="both"/>
        <w:rPr>
          <w:rFonts w:ascii="Arial" w:hAnsi="Arial" w:cs="Arial"/>
        </w:rPr>
      </w:pPr>
      <w:r>
        <w:rPr>
          <w:rFonts w:ascii="Arial" w:hAnsi="Arial" w:cs="Arial"/>
        </w:rPr>
        <w:t>Stečajna upraviteljica navodi da je u prodanoj nekretnini ostalo dosta pokretnina stečajnog dužnika koje mora iseliti iz tog prostora do konca rujna ove godine. Riječ je o računalima, pekarski pogon i ugostiteljsku opremu. U odnosu na istu zaprimljena je ponuda od kupca predmetne nekretnine</w:t>
      </w:r>
      <w:r w:rsidR="00AA695E">
        <w:rPr>
          <w:rFonts w:ascii="Arial" w:hAnsi="Arial" w:cs="Arial"/>
        </w:rPr>
        <w:t xml:space="preserve"> MANODENT d.o.o., Samoborski lug za zakupninu radi držanja tih pokretnina u njegovoj nekretnini i to za iznos od </w:t>
      </w:r>
      <w:r>
        <w:rPr>
          <w:rFonts w:ascii="Arial" w:hAnsi="Arial" w:cs="Arial"/>
        </w:rPr>
        <w:t xml:space="preserve"> 5.100,00 </w:t>
      </w:r>
      <w:r>
        <w:rPr>
          <w:rFonts w:ascii="Arial" w:hAnsi="Arial" w:cs="Arial"/>
        </w:rPr>
        <w:lastRenderedPageBreak/>
        <w:t>eura u kunskoj protuvrijednosti uvećano za PDV</w:t>
      </w:r>
      <w:r w:rsidR="00AA695E">
        <w:rPr>
          <w:rFonts w:ascii="Arial" w:hAnsi="Arial" w:cs="Arial"/>
        </w:rPr>
        <w:t xml:space="preserve"> mjesečno. U međuvremenu nije zaprimljena niti jedna ponuda za kupnju ugostiteljske opreme i računala. Navodi da je u mogućnosti preseliti ugostiteljsku opremu iz suterena na prizemlje i time smanjiti površinu na kojoj se oprema čuva pa bi se sva oprema čuvala upravo tamo gdje se sad nalazi pekarsko postrojenje te bi se zakupilo 1.000,00 m2 što bi smanjilo zakupninu na oko 3.000,00 eura, a sa čime je suglasan i vlasnik nekretnine. Stoga predlaže skupštini da donese odluku kojom se pokretnine stečajnog dužnika do unovčenja i to pekarsko postrojenje, računalna i ugostiteljska oprema zbrinjavanju na način da ostaju u prizemlju unovčene nekretnine za korištenje koje stečajni dužnik plaća mjesečno iznos od 3,00 eura po m2 plus PDV što iznosi oko 3.000,00 eura mjesečno, a sve počev od 1. rujna 2021. do unovčenja. Dalje predlaže da dobije odobrenje da sa vlasnikom nekretnine MANODENT d.o.o., Samoborski lug sklopi sporazum kojim bi podizni lift koji spada u pekarsko postrojenje </w:t>
      </w:r>
      <w:r w:rsidR="000528AB">
        <w:rPr>
          <w:rFonts w:ascii="Arial" w:hAnsi="Arial" w:cs="Arial"/>
        </w:rPr>
        <w:t xml:space="preserve">i isti je procijenjen na iznos od 25.000,00 kuna, </w:t>
      </w:r>
      <w:r w:rsidR="00AA695E">
        <w:rPr>
          <w:rFonts w:ascii="Arial" w:hAnsi="Arial" w:cs="Arial"/>
        </w:rPr>
        <w:t>isti preuzme</w:t>
      </w:r>
      <w:r w:rsidR="000528AB">
        <w:rPr>
          <w:rFonts w:ascii="Arial" w:hAnsi="Arial" w:cs="Arial"/>
        </w:rPr>
        <w:t xml:space="preserve"> odnosno kupi za najmanje 80% vrijednosti procijenjenog iznosa</w:t>
      </w:r>
      <w:r w:rsidR="00AA695E">
        <w:rPr>
          <w:rFonts w:ascii="Arial" w:hAnsi="Arial" w:cs="Arial"/>
        </w:rPr>
        <w:t xml:space="preserve"> te da za</w:t>
      </w:r>
      <w:r w:rsidR="000528AB">
        <w:rPr>
          <w:rFonts w:ascii="Arial" w:hAnsi="Arial" w:cs="Arial"/>
        </w:rPr>
        <w:t xml:space="preserve"> taj</w:t>
      </w:r>
      <w:r w:rsidR="00AA695E">
        <w:rPr>
          <w:rFonts w:ascii="Arial" w:hAnsi="Arial" w:cs="Arial"/>
        </w:rPr>
        <w:t xml:space="preserve"> iznos smanji zakupninu.</w:t>
      </w:r>
    </w:p>
    <w:p w:rsidR="00AA695E" w:rsidP="006755E6" w:rsidRDefault="00AA695E">
      <w:pPr>
        <w:jc w:val="both"/>
        <w:rPr>
          <w:rFonts w:ascii="Arial" w:hAnsi="Arial" w:cs="Arial"/>
        </w:rPr>
      </w:pPr>
    </w:p>
    <w:p w:rsidR="00AA695E" w:rsidP="006755E6" w:rsidRDefault="00AA695E">
      <w:pPr>
        <w:jc w:val="both"/>
        <w:rPr>
          <w:rFonts w:ascii="Arial" w:hAnsi="Arial" w:cs="Arial"/>
        </w:rPr>
      </w:pPr>
      <w:r>
        <w:rPr>
          <w:rFonts w:ascii="Arial" w:hAnsi="Arial" w:cs="Arial"/>
        </w:rPr>
        <w:t>Svi nazočni vjerovnici su suglasni s prijedlogom stečajne upraviteljice.</w:t>
      </w:r>
    </w:p>
    <w:p w:rsidR="00293847" w:rsidP="00F71208" w:rsidRDefault="00293847">
      <w:pPr>
        <w:jc w:val="both"/>
        <w:rPr>
          <w:rFonts w:ascii="Arial" w:hAnsi="Arial" w:cs="Arial"/>
        </w:rPr>
      </w:pPr>
    </w:p>
    <w:p w:rsidR="00AA695E" w:rsidP="00F71208" w:rsidRDefault="00AA695E">
      <w:pPr>
        <w:jc w:val="both"/>
        <w:rPr>
          <w:rFonts w:ascii="Arial" w:hAnsi="Arial" w:cs="Arial"/>
        </w:rPr>
      </w:pPr>
      <w:r>
        <w:rPr>
          <w:rFonts w:ascii="Arial" w:hAnsi="Arial" w:cs="Arial"/>
        </w:rPr>
        <w:t>Ad2.</w:t>
      </w:r>
    </w:p>
    <w:p w:rsidR="00AA695E" w:rsidP="00F71208" w:rsidRDefault="00AA695E">
      <w:pPr>
        <w:jc w:val="both"/>
        <w:rPr>
          <w:rFonts w:ascii="Arial" w:hAnsi="Arial" w:cs="Arial"/>
        </w:rPr>
      </w:pPr>
    </w:p>
    <w:p w:rsidR="00AA695E" w:rsidP="00F71208" w:rsidRDefault="00AA695E">
      <w:pPr>
        <w:jc w:val="both"/>
        <w:rPr>
          <w:rFonts w:ascii="Arial" w:hAnsi="Arial" w:cs="Arial"/>
        </w:rPr>
      </w:pPr>
      <w:r>
        <w:rPr>
          <w:rFonts w:ascii="Arial" w:hAnsi="Arial" w:cs="Arial"/>
        </w:rPr>
        <w:t>Stečajna upraviteljica navodi da je od nekretnina stečajnog dužnika preostalo</w:t>
      </w:r>
      <w:r w:rsidR="00D148D3">
        <w:rPr>
          <w:rFonts w:ascii="Arial" w:hAnsi="Arial" w:cs="Arial"/>
        </w:rPr>
        <w:t xml:space="preserve"> 6 poslovnih prostora na adresi Šibenik, Stjepana Radića 42a, koji su procijenjeni, koji su pod razlučnim pravom i to jedan OTP banke, 5 pod ZAGREBAČKOM BANKOM d.d. Zagreb kao prvim razlučnim vjerovnikom i Republika Hrvatska, Ministarstvo financija.</w:t>
      </w:r>
      <w:r w:rsidR="00725013">
        <w:rPr>
          <w:rFonts w:ascii="Arial" w:hAnsi="Arial" w:cs="Arial"/>
        </w:rPr>
        <w:t xml:space="preserve"> Predlaže da se sukladno čl. 247. donesu odluke radi unovčenja.</w:t>
      </w:r>
    </w:p>
    <w:p w:rsidR="00725013" w:rsidP="00F71208" w:rsidRDefault="00725013">
      <w:pPr>
        <w:jc w:val="both"/>
        <w:rPr>
          <w:rFonts w:ascii="Arial" w:hAnsi="Arial" w:cs="Arial"/>
        </w:rPr>
      </w:pPr>
    </w:p>
    <w:p w:rsidR="00725013" w:rsidP="00F71208" w:rsidRDefault="00725013">
      <w:pPr>
        <w:jc w:val="both"/>
        <w:rPr>
          <w:rFonts w:ascii="Arial" w:hAnsi="Arial" w:cs="Arial"/>
        </w:rPr>
      </w:pPr>
      <w:r>
        <w:rPr>
          <w:rFonts w:ascii="Arial" w:hAnsi="Arial" w:cs="Arial"/>
        </w:rPr>
        <w:t>Svi nazočni vjerovnici su suglasni s prijedlogom stečajne upraviteljice.</w:t>
      </w:r>
    </w:p>
    <w:p w:rsidR="00725013" w:rsidP="00F71208" w:rsidRDefault="00725013">
      <w:pPr>
        <w:jc w:val="both"/>
        <w:rPr>
          <w:rFonts w:ascii="Arial" w:hAnsi="Arial" w:cs="Arial"/>
        </w:rPr>
      </w:pPr>
    </w:p>
    <w:p w:rsidR="00725013" w:rsidP="00F71208" w:rsidRDefault="00725013">
      <w:pPr>
        <w:jc w:val="both"/>
        <w:rPr>
          <w:rFonts w:ascii="Arial" w:hAnsi="Arial" w:cs="Arial"/>
        </w:rPr>
      </w:pPr>
      <w:r>
        <w:rPr>
          <w:rFonts w:ascii="Arial" w:hAnsi="Arial" w:cs="Arial"/>
        </w:rPr>
        <w:t>Stečajna upraviteljica navodi dalje da treba donijeti odluku o načinu i uvjetima unovčenja pekarskog postrojenja i ugostiteljske opreme. S tim u vezi navodi da je izvršena procjena pekarskog postrojenja iz koje je proizišlo da obzirom na starost iste nije unovčivo kao cjelina već da bi bilo povoljnije prodavati pojedinačno a tako su i procijenjene. Zbroj pojedinačnih vrijednosti iznosi 694.100,00 kuna bez PDV-a, a identična je situacija i sa ugostiteljskom opremom za koju je također zaključeno da se može unovčiti pojedinačno, a zbroj pojedinačnih iznosa je 129.100,00 kuna bez PDV-a. Stečajna upraviteljica predlaže a ovo s obzirom da se za tu opremu plaća zakupnina, da se ista proda pojedinačno po početnoj cijeni od 80% procijenjenog iznosa te da se taj iznos pri</w:t>
      </w:r>
      <w:r w:rsidR="000528AB">
        <w:rPr>
          <w:rFonts w:ascii="Arial" w:hAnsi="Arial" w:cs="Arial"/>
        </w:rPr>
        <w:t xml:space="preserve"> prvoj</w:t>
      </w:r>
      <w:r>
        <w:rPr>
          <w:rFonts w:ascii="Arial" w:hAnsi="Arial" w:cs="Arial"/>
        </w:rPr>
        <w:t xml:space="preserve"> sljedećoj prodaji smanji za </w:t>
      </w:r>
      <w:r w:rsidR="000528AB">
        <w:rPr>
          <w:rFonts w:ascii="Arial" w:hAnsi="Arial" w:cs="Arial"/>
        </w:rPr>
        <w:t>20%, dakle na 60%, a pri drugoj sljedećoj za dodatnih 10% što bi iznosilo 50% procijenjene vrijednosti, nakon čega će se zatražiti nova odluka skupštine vjerovnika, a sve prikupljanjem pisanih ponuda stečajnoj upraviteljici.</w:t>
      </w:r>
    </w:p>
    <w:p w:rsidRPr="006755E6" w:rsidR="00AA695E" w:rsidP="00F71208" w:rsidRDefault="00AA695E">
      <w:pPr>
        <w:jc w:val="both"/>
        <w:rPr>
          <w:rFonts w:ascii="Arial" w:hAnsi="Arial" w:cs="Arial"/>
        </w:rPr>
      </w:pPr>
    </w:p>
    <w:p w:rsidRPr="006755E6" w:rsidR="009619CB" w:rsidP="00F71208" w:rsidRDefault="009619CB">
      <w:pPr>
        <w:jc w:val="both"/>
        <w:rPr>
          <w:rFonts w:ascii="Arial" w:hAnsi="Arial" w:cs="Arial"/>
        </w:rPr>
      </w:pPr>
      <w:r w:rsidRPr="006755E6">
        <w:rPr>
          <w:rFonts w:ascii="Arial" w:hAnsi="Arial" w:cs="Arial"/>
        </w:rPr>
        <w:t>Sud utvrđuje da su na današnjoj skupštini vjerovnika donijete sljedeće odluke:</w:t>
      </w:r>
    </w:p>
    <w:p w:rsidRPr="006755E6" w:rsidR="009619CB" w:rsidP="00F71208" w:rsidRDefault="009619CB">
      <w:pPr>
        <w:jc w:val="both"/>
        <w:rPr>
          <w:rFonts w:ascii="Arial" w:hAnsi="Arial" w:cs="Arial"/>
        </w:rPr>
      </w:pPr>
    </w:p>
    <w:p w:rsidR="000528AB" w:rsidP="00913888" w:rsidRDefault="000528AB">
      <w:pPr>
        <w:pStyle w:val="Odlomakpopisa"/>
        <w:numPr>
          <w:ilvl w:val="0"/>
          <w:numId w:val="28"/>
        </w:numPr>
        <w:tabs>
          <w:tab w:val="left" w:pos="0"/>
          <w:tab w:val="left" w:pos="360"/>
        </w:tabs>
        <w:jc w:val="both"/>
        <w:rPr>
          <w:rFonts w:ascii="Arial" w:hAnsi="Arial" w:cs="Arial"/>
        </w:rPr>
      </w:pPr>
      <w:r>
        <w:rPr>
          <w:rFonts w:ascii="Arial" w:hAnsi="Arial" w:cs="Arial"/>
        </w:rPr>
        <w:t>Preostale pokretnine stečajnog dužnika ostati će u unovčenoj nekretnini, a stečajnoj upraviteljici se daje ovlast da sa vlasnikom sklopi ugovor o zakupu poslovnog prostora u kojem se iste čuvaju po cijeni od 3,00 eura po m2 korištenog prostora, te da sa vlasnikom nekretnine dogovori prodaju lifta za 80% procijenjenog iznosa koji je 25.000,00 kuna u kojem iznosu bi se zakupnina smanjila.</w:t>
      </w:r>
    </w:p>
    <w:p w:rsidR="00293847" w:rsidP="00913888" w:rsidRDefault="000528AB">
      <w:pPr>
        <w:pStyle w:val="Odlomakpopisa"/>
        <w:numPr>
          <w:ilvl w:val="0"/>
          <w:numId w:val="28"/>
        </w:numPr>
        <w:tabs>
          <w:tab w:val="left" w:pos="0"/>
          <w:tab w:val="left" w:pos="360"/>
        </w:tabs>
        <w:jc w:val="both"/>
        <w:rPr>
          <w:rFonts w:ascii="Arial" w:hAnsi="Arial" w:cs="Arial"/>
        </w:rPr>
      </w:pPr>
      <w:r>
        <w:rPr>
          <w:rFonts w:ascii="Arial" w:hAnsi="Arial" w:cs="Arial"/>
        </w:rPr>
        <w:lastRenderedPageBreak/>
        <w:t>Nekretnine stečajnog dužnika na čz. 3242/2, zk. ul. 6040, k.o. Šibenik ukupno 6 etaža unovčiti će se pred FINA-om.</w:t>
      </w:r>
    </w:p>
    <w:p w:rsidRPr="00C04688" w:rsidR="000528AB" w:rsidP="000528AB" w:rsidRDefault="000528AB">
      <w:pPr>
        <w:pStyle w:val="Odlomakpopisa"/>
        <w:numPr>
          <w:ilvl w:val="0"/>
          <w:numId w:val="28"/>
        </w:numPr>
        <w:tabs>
          <w:tab w:val="left" w:pos="0"/>
          <w:tab w:val="left" w:pos="360"/>
        </w:tabs>
        <w:jc w:val="both"/>
        <w:rPr>
          <w:rFonts w:ascii="Arial" w:hAnsi="Arial" w:cs="Arial"/>
        </w:rPr>
      </w:pPr>
      <w:r>
        <w:rPr>
          <w:rFonts w:ascii="Arial" w:hAnsi="Arial" w:cs="Arial"/>
        </w:rPr>
        <w:t>Pokretnine stečajnog dužnika i to pekarsko postrojenje i ugostiteljska oprema prodavati će se pojedinačno</w:t>
      </w:r>
      <w:r w:rsidRPr="000528AB">
        <w:t xml:space="preserve"> </w:t>
      </w:r>
      <w:r w:rsidRPr="000528AB">
        <w:rPr>
          <w:rFonts w:ascii="Arial" w:hAnsi="Arial" w:cs="Arial"/>
        </w:rPr>
        <w:t xml:space="preserve">po početnoj cijeni od 80% procijenjenog iznosa te </w:t>
      </w:r>
      <w:r>
        <w:rPr>
          <w:rFonts w:ascii="Arial" w:hAnsi="Arial" w:cs="Arial"/>
        </w:rPr>
        <w:t>će</w:t>
      </w:r>
      <w:r w:rsidRPr="000528AB">
        <w:rPr>
          <w:rFonts w:ascii="Arial" w:hAnsi="Arial" w:cs="Arial"/>
        </w:rPr>
        <w:t xml:space="preserve"> se taj iznos pri prvoj sljedećoj prodaji smanji za 20%, dakle na 60%, a pri drugoj sljedećoj za dodatnih 10% što bi iznosilo 50% procijenjene vrijednosti, nakon čega će se zatražiti nova odluka skupštine vjerovnika, a sve prikupljanjem pisanih ponuda stečajnoj upraviteljici.</w:t>
      </w:r>
    </w:p>
    <w:p w:rsidR="00C04688" w:rsidP="00F96D5F" w:rsidRDefault="00C04688">
      <w:pPr>
        <w:tabs>
          <w:tab w:val="left" w:pos="0"/>
          <w:tab w:val="left" w:pos="360"/>
        </w:tabs>
        <w:rPr>
          <w:rFonts w:ascii="Arial" w:hAnsi="Arial" w:cs="Arial"/>
        </w:rPr>
      </w:pPr>
    </w:p>
    <w:p w:rsidRPr="006755E6" w:rsidR="00F96D5F" w:rsidP="00F96D5F" w:rsidRDefault="00F96D5F">
      <w:pPr>
        <w:tabs>
          <w:tab w:val="left" w:pos="0"/>
          <w:tab w:val="left" w:pos="360"/>
        </w:tabs>
        <w:rPr>
          <w:rFonts w:ascii="Arial" w:hAnsi="Arial" w:cs="Arial"/>
        </w:rPr>
      </w:pPr>
      <w:r w:rsidRPr="006755E6">
        <w:rPr>
          <w:rFonts w:ascii="Arial" w:hAnsi="Arial" w:cs="Arial"/>
        </w:rPr>
        <w:t xml:space="preserve">Dovršeno u </w:t>
      </w:r>
      <w:r w:rsidRPr="006755E6" w:rsidR="009619CB">
        <w:rPr>
          <w:rFonts w:ascii="Arial" w:hAnsi="Arial" w:cs="Arial"/>
        </w:rPr>
        <w:t>10</w:t>
      </w:r>
      <w:r w:rsidRPr="006755E6" w:rsidR="00651E9B">
        <w:rPr>
          <w:rFonts w:ascii="Arial" w:hAnsi="Arial" w:cs="Arial"/>
        </w:rPr>
        <w:t>,</w:t>
      </w:r>
      <w:r w:rsidR="000528AB">
        <w:rPr>
          <w:rFonts w:ascii="Arial" w:hAnsi="Arial" w:cs="Arial"/>
        </w:rPr>
        <w:t>44</w:t>
      </w:r>
      <w:r w:rsidRPr="006755E6">
        <w:rPr>
          <w:rFonts w:ascii="Arial" w:hAnsi="Arial" w:cs="Arial"/>
        </w:rPr>
        <w:t xml:space="preserve">  sati.</w:t>
      </w:r>
    </w:p>
    <w:p w:rsidRPr="006755E6" w:rsidR="00F96D5F" w:rsidP="00F96D5F" w:rsidRDefault="00F96D5F">
      <w:pPr>
        <w:tabs>
          <w:tab w:val="left" w:pos="0"/>
          <w:tab w:val="left" w:pos="360"/>
        </w:tabs>
        <w:jc w:val="both"/>
        <w:rPr>
          <w:rFonts w:ascii="Arial" w:hAnsi="Arial" w:cs="Arial"/>
        </w:rPr>
      </w:pPr>
    </w:p>
    <w:p w:rsidRPr="006755E6" w:rsidR="00F96D5F" w:rsidP="00F96D5F" w:rsidRDefault="00F96D5F">
      <w:pPr>
        <w:tabs>
          <w:tab w:val="left" w:pos="0"/>
          <w:tab w:val="left" w:pos="360"/>
        </w:tabs>
        <w:jc w:val="both"/>
        <w:rPr>
          <w:rFonts w:ascii="Arial" w:hAnsi="Arial" w:cs="Arial"/>
        </w:rPr>
      </w:pPr>
      <w:r w:rsidRPr="006755E6">
        <w:rPr>
          <w:rFonts w:ascii="Arial" w:hAnsi="Arial" w:cs="Arial"/>
        </w:rPr>
        <w:t>ZAPISNIČAR</w:t>
      </w:r>
      <w:r w:rsidRPr="006755E6">
        <w:rPr>
          <w:rFonts w:ascii="Arial" w:hAnsi="Arial" w:cs="Arial"/>
        </w:rPr>
        <w:tab/>
      </w:r>
      <w:r w:rsidRPr="006755E6">
        <w:rPr>
          <w:rFonts w:ascii="Arial" w:hAnsi="Arial" w:cs="Arial"/>
        </w:rPr>
        <w:tab/>
        <w:t xml:space="preserve"> </w:t>
      </w:r>
      <w:r w:rsidRPr="006755E6">
        <w:rPr>
          <w:rFonts w:ascii="Arial" w:hAnsi="Arial" w:cs="Arial"/>
        </w:rPr>
        <w:tab/>
      </w:r>
      <w:r w:rsidRPr="006755E6" w:rsidR="007B1162">
        <w:rPr>
          <w:rFonts w:ascii="Arial" w:hAnsi="Arial" w:cs="Arial"/>
        </w:rPr>
        <w:tab/>
      </w:r>
      <w:r w:rsidRPr="006755E6">
        <w:rPr>
          <w:rFonts w:ascii="Arial" w:hAnsi="Arial" w:cs="Arial"/>
        </w:rPr>
        <w:t>SUDAC</w:t>
      </w:r>
      <w:r w:rsidRPr="006755E6">
        <w:rPr>
          <w:rFonts w:ascii="Arial" w:hAnsi="Arial" w:cs="Arial"/>
        </w:rPr>
        <w:tab/>
        <w:t xml:space="preserve">          </w:t>
      </w:r>
      <w:r w:rsidRPr="006755E6">
        <w:rPr>
          <w:rFonts w:ascii="Arial" w:hAnsi="Arial" w:cs="Arial"/>
        </w:rPr>
        <w:tab/>
        <w:t xml:space="preserve">STEČAJNI UPRAVITELJ </w:t>
      </w:r>
      <w:r w:rsidRPr="006755E6">
        <w:rPr>
          <w:rFonts w:ascii="Arial" w:hAnsi="Arial" w:cs="Arial"/>
        </w:rPr>
        <w:tab/>
      </w:r>
    </w:p>
    <w:p w:rsidRPr="006755E6" w:rsidR="00F96D5F" w:rsidP="00F96D5F" w:rsidRDefault="00F96D5F">
      <w:pPr>
        <w:tabs>
          <w:tab w:val="left" w:pos="0"/>
          <w:tab w:val="left" w:pos="360"/>
        </w:tabs>
        <w:jc w:val="both"/>
        <w:rPr>
          <w:rFonts w:ascii="Arial" w:hAnsi="Arial" w:cs="Arial"/>
        </w:rPr>
      </w:pPr>
    </w:p>
    <w:p w:rsidR="001B5640" w:rsidP="00E008CF" w:rsidRDefault="00BD0C21">
      <w:pPr>
        <w:tabs>
          <w:tab w:val="left" w:pos="0"/>
          <w:tab w:val="left" w:pos="360"/>
        </w:tabs>
        <w:jc w:val="both"/>
        <w:rPr>
          <w:rFonts w:ascii="Arial" w:hAnsi="Arial" w:cs="Arial"/>
        </w:rPr>
      </w:pPr>
      <w:r w:rsidRPr="006755E6">
        <w:rPr>
          <w:rFonts w:ascii="Arial" w:hAnsi="Arial" w:cs="Arial"/>
        </w:rPr>
        <w:t>VJEROVNICI</w:t>
      </w:r>
    </w:p>
    <w:p w:rsidR="00A26A16" w:rsidP="00E008CF" w:rsidRDefault="00A26A16">
      <w:pPr>
        <w:tabs>
          <w:tab w:val="left" w:pos="0"/>
          <w:tab w:val="left" w:pos="360"/>
        </w:tabs>
        <w:jc w:val="both"/>
        <w:rPr>
          <w:rFonts w:ascii="Arial" w:hAnsi="Arial" w:cs="Arial"/>
        </w:rPr>
      </w:pPr>
    </w:p>
    <w:p w:rsidR="00A26A16" w:rsidP="00E008CF" w:rsidRDefault="00A26A16">
      <w:pPr>
        <w:tabs>
          <w:tab w:val="left" w:pos="0"/>
          <w:tab w:val="left" w:pos="360"/>
        </w:tabs>
        <w:jc w:val="both"/>
        <w:rPr>
          <w:rFonts w:ascii="Arial" w:hAnsi="Arial" w:cs="Arial"/>
        </w:rPr>
      </w:pPr>
    </w:p>
    <w:p w:rsidR="00A26A16" w:rsidP="00E008CF" w:rsidRDefault="00A26A16">
      <w:pPr>
        <w:tabs>
          <w:tab w:val="left" w:pos="0"/>
          <w:tab w:val="left" w:pos="360"/>
        </w:tabs>
        <w:jc w:val="both"/>
        <w:rPr>
          <w:rFonts w:ascii="Arial" w:hAnsi="Arial" w:cs="Arial"/>
        </w:rPr>
      </w:pPr>
    </w:p>
    <w:p w:rsidR="00885931" w:rsidP="00E008CF" w:rsidRDefault="00885931">
      <w:pPr>
        <w:tabs>
          <w:tab w:val="left" w:pos="0"/>
          <w:tab w:val="left" w:pos="360"/>
        </w:tabs>
        <w:jc w:val="both"/>
        <w:rPr>
          <w:rFonts w:ascii="Arial" w:hAnsi="Arial" w:cs="Arial"/>
        </w:rPr>
      </w:pPr>
    </w:p>
    <w:p w:rsidR="00885931" w:rsidP="00E008CF" w:rsidRDefault="00885931">
      <w:pPr>
        <w:tabs>
          <w:tab w:val="left" w:pos="0"/>
          <w:tab w:val="left" w:pos="360"/>
        </w:tabs>
        <w:jc w:val="both"/>
        <w:rPr>
          <w:rFonts w:ascii="Arial" w:hAnsi="Arial" w:cs="Arial"/>
        </w:rPr>
      </w:pPr>
    </w:p>
    <w:p w:rsidR="00885931" w:rsidP="00E008CF" w:rsidRDefault="00885931">
      <w:pPr>
        <w:tabs>
          <w:tab w:val="left" w:pos="0"/>
          <w:tab w:val="left" w:pos="360"/>
        </w:tabs>
        <w:jc w:val="both"/>
        <w:rPr>
          <w:rFonts w:ascii="Arial" w:hAnsi="Arial" w:cs="Arial"/>
        </w:rPr>
      </w:pPr>
    </w:p>
    <w:p w:rsidR="00885931" w:rsidP="00E008CF" w:rsidRDefault="00885931">
      <w:pPr>
        <w:tabs>
          <w:tab w:val="left" w:pos="0"/>
          <w:tab w:val="left" w:pos="360"/>
        </w:tabs>
        <w:jc w:val="both"/>
        <w:rPr>
          <w:rFonts w:ascii="Arial" w:hAnsi="Arial" w:cs="Arial"/>
        </w:rPr>
      </w:pPr>
    </w:p>
    <w:p w:rsidR="00885931" w:rsidP="00E008CF" w:rsidRDefault="00885931">
      <w:pPr>
        <w:tabs>
          <w:tab w:val="left" w:pos="0"/>
          <w:tab w:val="left" w:pos="360"/>
        </w:tabs>
        <w:jc w:val="both"/>
        <w:rPr>
          <w:rFonts w:ascii="Arial" w:hAnsi="Arial" w:cs="Arial"/>
        </w:rPr>
      </w:pPr>
    </w:p>
    <w:p w:rsidR="00885931" w:rsidP="00E008CF" w:rsidRDefault="00885931">
      <w:pPr>
        <w:tabs>
          <w:tab w:val="left" w:pos="0"/>
          <w:tab w:val="left" w:pos="360"/>
        </w:tabs>
        <w:jc w:val="both"/>
        <w:rPr>
          <w:rFonts w:ascii="Arial" w:hAnsi="Arial" w:cs="Arial"/>
        </w:rPr>
      </w:pPr>
    </w:p>
    <w:p w:rsidRPr="006755E6" w:rsidR="00885931" w:rsidP="00E008CF" w:rsidRDefault="00885931">
      <w:pPr>
        <w:tabs>
          <w:tab w:val="left" w:pos="0"/>
          <w:tab w:val="left" w:pos="360"/>
        </w:tabs>
        <w:jc w:val="both"/>
        <w:rPr>
          <w:rFonts w:ascii="Arial" w:hAnsi="Arial" w:cs="Arial"/>
        </w:rPr>
      </w:pPr>
    </w:p>
    <w:sectPr w:rsidRPr="006755E6" w:rsidR="00885931" w:rsidSect="00F71208">
      <w:headerReference w:type="default" r:id="rId9"/>
      <w:pgSz w:w="11906" w:h="16838"/>
      <w:pgMar w:top="1417" w:right="1417" w:bottom="1276"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823B4" w:rsidP="000F0D50" w:rsidRDefault="004823B4">
      <w:r>
        <w:separator/>
      </w:r>
    </w:p>
  </w:endnote>
  <w:endnote w:type="continuationSeparator" w:id="0">
    <w:p w:rsidR="004823B4" w:rsidP="000F0D50" w:rsidRDefault="004823B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823B4" w:rsidP="000F0D50" w:rsidRDefault="004823B4">
      <w:r>
        <w:separator/>
      </w:r>
    </w:p>
  </w:footnote>
  <w:footnote w:type="continuationSeparator" w:id="0">
    <w:p w:rsidR="004823B4" w:rsidP="000F0D50" w:rsidRDefault="004823B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755E6" w:rsidR="004823B4" w:rsidP="00805CD1" w:rsidRDefault="004823B4">
    <w:pPr>
      <w:pStyle w:val="Zaglavlje"/>
      <w:jc w:val="center"/>
      <w:rPr>
        <w:rFonts w:ascii="Arial" w:hAnsi="Arial" w:cs="Arial"/>
      </w:rPr>
    </w:pPr>
    <w:r w:rsidRPr="006755E6">
      <w:rPr>
        <w:rFonts w:ascii="Arial" w:hAnsi="Arial" w:cs="Arial"/>
      </w:rPr>
      <w:t xml:space="preserve">                                                                        </w:t>
    </w:r>
    <w:r w:rsidRPr="006755E6">
      <w:rPr>
        <w:rFonts w:ascii="Arial" w:hAnsi="Arial" w:cs="Arial"/>
      </w:rPr>
      <w:fldChar w:fldCharType="begin"/>
    </w:r>
    <w:r w:rsidRPr="006755E6">
      <w:rPr>
        <w:rFonts w:ascii="Arial" w:hAnsi="Arial" w:cs="Arial"/>
      </w:rPr>
      <w:instrText>PAGE   \* MERGEFORMAT</w:instrText>
    </w:r>
    <w:r w:rsidRPr="006755E6">
      <w:rPr>
        <w:rFonts w:ascii="Arial" w:hAnsi="Arial" w:cs="Arial"/>
      </w:rPr>
      <w:fldChar w:fldCharType="separate"/>
    </w:r>
    <w:r w:rsidR="005217F3">
      <w:rPr>
        <w:rFonts w:ascii="Arial" w:hAnsi="Arial" w:cs="Arial"/>
        <w:noProof/>
      </w:rPr>
      <w:t>3</w:t>
    </w:r>
    <w:r w:rsidRPr="006755E6">
      <w:rPr>
        <w:rFonts w:ascii="Arial" w:hAnsi="Arial" w:cs="Arial"/>
      </w:rPr>
      <w:fldChar w:fldCharType="end"/>
    </w:r>
    <w:r w:rsidRPr="006755E6">
      <w:rPr>
        <w:rFonts w:ascii="Arial" w:hAnsi="Arial" w:cs="Arial"/>
      </w:rPr>
      <w:t xml:space="preserve">                                    1 St-</w:t>
    </w:r>
    <w:r w:rsidR="00885931">
      <w:rPr>
        <w:rFonts w:ascii="Arial" w:hAnsi="Arial" w:cs="Arial"/>
      </w:rPr>
      <w:t>142</w:t>
    </w:r>
    <w:r w:rsidRPr="006755E6" w:rsidR="002316EC">
      <w:rPr>
        <w:rFonts w:ascii="Arial" w:hAnsi="Arial" w:cs="Arial"/>
      </w:rPr>
      <w:t>/</w:t>
    </w:r>
    <w:r w:rsidRPr="006755E6" w:rsidR="00A65177">
      <w:rPr>
        <w:rFonts w:ascii="Arial" w:hAnsi="Arial" w:cs="Arial"/>
      </w:rPr>
      <w:t>1</w:t>
    </w:r>
    <w:r w:rsidRPr="006755E6" w:rsidR="006755E6">
      <w:rPr>
        <w:rFonts w:ascii="Arial" w:hAnsi="Arial" w:cs="Arial"/>
      </w:rPr>
      <w:t>8</w:t>
    </w:r>
    <w:r w:rsidRPr="006755E6" w:rsidR="00A65177">
      <w:rPr>
        <w:rFonts w:ascii="Arial" w:hAnsi="Arial" w:cs="Arial"/>
      </w:rPr>
      <w:t>-</w:t>
    </w:r>
    <w:r w:rsidR="00885931">
      <w:rPr>
        <w:rFonts w:ascii="Arial" w:hAnsi="Arial" w:cs="Arial"/>
      </w:rPr>
      <w:t>120</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9214B"/>
    <w:multiLevelType w:val="hybridMultilevel"/>
    <w:tmpl w:val="6C8EDFAC"/>
    <w:lvl w:ilvl="0" w:tplc="B1B285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07EC10F7"/>
    <w:multiLevelType w:val="hybridMultilevel"/>
    <w:tmpl w:val="8DDE1A0C"/>
    <w:lvl w:ilvl="0" w:tplc="5C5A3C5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B1263D6"/>
    <w:multiLevelType w:val="multilevel"/>
    <w:tmpl w:val="621E9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C927D03"/>
    <w:multiLevelType w:val="hybridMultilevel"/>
    <w:tmpl w:val="E8EAE2E8"/>
    <w:lvl w:ilvl="0" w:tplc="49D274F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9F32602"/>
    <w:multiLevelType w:val="hybridMultilevel"/>
    <w:tmpl w:val="6E1E0B0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6747005"/>
    <w:multiLevelType w:val="hybridMultilevel"/>
    <w:tmpl w:val="01B2700E"/>
    <w:lvl w:ilvl="0" w:tplc="2C80B3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6">
    <w:nsid w:val="26FC4322"/>
    <w:multiLevelType w:val="hybridMultilevel"/>
    <w:tmpl w:val="50A08158"/>
    <w:lvl w:ilvl="0" w:tplc="413887AC">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7">
    <w:nsid w:val="273300F7"/>
    <w:multiLevelType w:val="hybridMultilevel"/>
    <w:tmpl w:val="9FE4984E"/>
    <w:lvl w:ilvl="0" w:tplc="533A3E0C">
      <w:start w:val="1"/>
      <w:numFmt w:val="upperRoman"/>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82E3281"/>
    <w:multiLevelType w:val="hybridMultilevel"/>
    <w:tmpl w:val="E1285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A8D27F0"/>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008596D"/>
    <w:multiLevelType w:val="hybridMultilevel"/>
    <w:tmpl w:val="2892D3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7BE2549"/>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D645E3B"/>
    <w:multiLevelType w:val="hybridMultilevel"/>
    <w:tmpl w:val="137E1D74"/>
    <w:lvl w:ilvl="0" w:tplc="E9EE0BA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47C93323"/>
    <w:multiLevelType w:val="hybridMultilevel"/>
    <w:tmpl w:val="785E417E"/>
    <w:lvl w:ilvl="0" w:tplc="C472C5D8">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4BAB1C27"/>
    <w:multiLevelType w:val="hybridMultilevel"/>
    <w:tmpl w:val="2684DDF8"/>
    <w:lvl w:ilvl="0" w:tplc="9800A00A">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538A2303"/>
    <w:multiLevelType w:val="hybridMultilevel"/>
    <w:tmpl w:val="1660B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6">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7">
    <w:nsid w:val="5A8270E3"/>
    <w:multiLevelType w:val="hybridMultilevel"/>
    <w:tmpl w:val="10EC7E9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B214CC2"/>
    <w:multiLevelType w:val="hybridMultilevel"/>
    <w:tmpl w:val="682CB8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690D6DC4"/>
    <w:multiLevelType w:val="hybridMultilevel"/>
    <w:tmpl w:val="0E123302"/>
    <w:lvl w:ilvl="0" w:tplc="E1727BCE">
      <w:start w:val="3"/>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0">
    <w:nsid w:val="6DA51494"/>
    <w:multiLevelType w:val="hybridMultilevel"/>
    <w:tmpl w:val="28F813F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72B260B1"/>
    <w:multiLevelType w:val="hybridMultilevel"/>
    <w:tmpl w:val="47143BE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2">
    <w:nsid w:val="74250F5F"/>
    <w:multiLevelType w:val="hybridMultilevel"/>
    <w:tmpl w:val="621E94C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3">
    <w:nsid w:val="74355D04"/>
    <w:multiLevelType w:val="hybridMultilevel"/>
    <w:tmpl w:val="EA545680"/>
    <w:lvl w:ilvl="0" w:tplc="E086EF0A">
      <w:numFmt w:val="bullet"/>
      <w:lvlText w:val="-"/>
      <w:lvlJc w:val="left"/>
      <w:pPr>
        <w:tabs>
          <w:tab w:val="num" w:pos="1065"/>
        </w:tabs>
        <w:ind w:left="1065" w:hanging="705"/>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4">
    <w:nsid w:val="78564A9C"/>
    <w:multiLevelType w:val="hybridMultilevel"/>
    <w:tmpl w:val="67E432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7B693CE3"/>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7E16791B"/>
    <w:multiLevelType w:val="hybridMultilevel"/>
    <w:tmpl w:val="0570FA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1"/>
  </w:num>
  <w:num w:numId="2">
    <w:abstractNumId w:val="19"/>
  </w:num>
  <w:num w:numId="3">
    <w:abstractNumId w:val="15"/>
  </w:num>
  <w:num w:numId="4">
    <w:abstractNumId w:val="23"/>
  </w:num>
  <w:num w:numId="5">
    <w:abstractNumId w:val="6"/>
  </w:num>
  <w:num w:numId="6">
    <w:abstractNumId w:val="16"/>
  </w:num>
  <w:num w:numId="7">
    <w:abstractNumId w:val="7"/>
  </w:num>
  <w:num w:numId="8">
    <w:abstractNumId w:val="5"/>
  </w:num>
  <w:num w:numId="9">
    <w:abstractNumId w:val="8"/>
  </w:num>
  <w:num w:numId="10">
    <w:abstractNumId w:val="22"/>
  </w:num>
  <w:num w:numId="11">
    <w:abstractNumId w:val="2"/>
  </w:num>
  <w:num w:numId="12">
    <w:abstractNumId w:val="14"/>
  </w:num>
  <w:num w:numId="13">
    <w:abstractNumId w:val="26"/>
  </w:num>
  <w:num w:numId="14">
    <w:abstractNumId w:val="3"/>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9"/>
  </w:num>
  <w:num w:numId="18">
    <w:abstractNumId w:val="0"/>
  </w:num>
  <w:num w:numId="19">
    <w:abstractNumId w:val="11"/>
  </w:num>
  <w:num w:numId="20">
    <w:abstractNumId w:val="17"/>
  </w:num>
  <w:num w:numId="21">
    <w:abstractNumId w:val="25"/>
  </w:num>
  <w:num w:numId="22">
    <w:abstractNumId w:val="13"/>
  </w:num>
  <w:num w:numId="23">
    <w:abstractNumId w:val="12"/>
  </w:num>
  <w:num w:numId="24">
    <w:abstractNumId w:val="20"/>
  </w:num>
  <w:num w:numId="25">
    <w:abstractNumId w:val="10"/>
  </w:num>
  <w:num w:numId="26">
    <w:abstractNumId w:val="1"/>
  </w:num>
  <w:num w:numId="27">
    <w:abstractNumId w:val="24"/>
  </w:num>
  <w:num w:numId="28">
    <w:abstractNumId w:val="4"/>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7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3C"/>
    <w:rsid w:val="00015A04"/>
    <w:rsid w:val="00016368"/>
    <w:rsid w:val="000232CD"/>
    <w:rsid w:val="00027490"/>
    <w:rsid w:val="000311F1"/>
    <w:rsid w:val="00037626"/>
    <w:rsid w:val="000528AB"/>
    <w:rsid w:val="00054CFC"/>
    <w:rsid w:val="0007213B"/>
    <w:rsid w:val="000727EA"/>
    <w:rsid w:val="0007348F"/>
    <w:rsid w:val="00081A58"/>
    <w:rsid w:val="0008308B"/>
    <w:rsid w:val="000A752E"/>
    <w:rsid w:val="000C6530"/>
    <w:rsid w:val="000D2695"/>
    <w:rsid w:val="000F0D50"/>
    <w:rsid w:val="000F2F59"/>
    <w:rsid w:val="001058A1"/>
    <w:rsid w:val="00111F9E"/>
    <w:rsid w:val="00116AE8"/>
    <w:rsid w:val="001236AC"/>
    <w:rsid w:val="00135E29"/>
    <w:rsid w:val="001648F1"/>
    <w:rsid w:val="0017355B"/>
    <w:rsid w:val="00183C98"/>
    <w:rsid w:val="001932E2"/>
    <w:rsid w:val="001A2E67"/>
    <w:rsid w:val="001B0D22"/>
    <w:rsid w:val="001B2564"/>
    <w:rsid w:val="001B5640"/>
    <w:rsid w:val="001C2763"/>
    <w:rsid w:val="001D0E9B"/>
    <w:rsid w:val="001E71A6"/>
    <w:rsid w:val="00220CA9"/>
    <w:rsid w:val="00224227"/>
    <w:rsid w:val="002316EC"/>
    <w:rsid w:val="00251190"/>
    <w:rsid w:val="00261D5E"/>
    <w:rsid w:val="002632FB"/>
    <w:rsid w:val="00293847"/>
    <w:rsid w:val="00293FE2"/>
    <w:rsid w:val="002950DD"/>
    <w:rsid w:val="002B2A2A"/>
    <w:rsid w:val="002B67F1"/>
    <w:rsid w:val="002C63C7"/>
    <w:rsid w:val="002F2B7F"/>
    <w:rsid w:val="00314050"/>
    <w:rsid w:val="00325049"/>
    <w:rsid w:val="00350A4A"/>
    <w:rsid w:val="00375FF3"/>
    <w:rsid w:val="003853F9"/>
    <w:rsid w:val="003B3D8E"/>
    <w:rsid w:val="003E22D0"/>
    <w:rsid w:val="003E54DD"/>
    <w:rsid w:val="003F2267"/>
    <w:rsid w:val="003F6557"/>
    <w:rsid w:val="003F6C10"/>
    <w:rsid w:val="0040393E"/>
    <w:rsid w:val="004041A5"/>
    <w:rsid w:val="0041624E"/>
    <w:rsid w:val="00422621"/>
    <w:rsid w:val="00431A46"/>
    <w:rsid w:val="0043328B"/>
    <w:rsid w:val="00445665"/>
    <w:rsid w:val="00455E64"/>
    <w:rsid w:val="0046345E"/>
    <w:rsid w:val="00472230"/>
    <w:rsid w:val="004823B4"/>
    <w:rsid w:val="004874E1"/>
    <w:rsid w:val="00487C7F"/>
    <w:rsid w:val="00490323"/>
    <w:rsid w:val="00493236"/>
    <w:rsid w:val="004A0F8E"/>
    <w:rsid w:val="004A5B0A"/>
    <w:rsid w:val="004D5067"/>
    <w:rsid w:val="004D53A3"/>
    <w:rsid w:val="004D60C3"/>
    <w:rsid w:val="005217F3"/>
    <w:rsid w:val="00524D93"/>
    <w:rsid w:val="005377A0"/>
    <w:rsid w:val="00540349"/>
    <w:rsid w:val="00542926"/>
    <w:rsid w:val="00551717"/>
    <w:rsid w:val="005677A9"/>
    <w:rsid w:val="005954D0"/>
    <w:rsid w:val="005973E3"/>
    <w:rsid w:val="005B6150"/>
    <w:rsid w:val="005D268C"/>
    <w:rsid w:val="005D6C6B"/>
    <w:rsid w:val="005F0790"/>
    <w:rsid w:val="005F1A1A"/>
    <w:rsid w:val="005F28DE"/>
    <w:rsid w:val="00600FA3"/>
    <w:rsid w:val="00601ACD"/>
    <w:rsid w:val="00603FF6"/>
    <w:rsid w:val="00624D2A"/>
    <w:rsid w:val="00636F12"/>
    <w:rsid w:val="00651E9B"/>
    <w:rsid w:val="006539F1"/>
    <w:rsid w:val="0065448E"/>
    <w:rsid w:val="00662BBC"/>
    <w:rsid w:val="006755E6"/>
    <w:rsid w:val="0068761E"/>
    <w:rsid w:val="0069087B"/>
    <w:rsid w:val="006A46AA"/>
    <w:rsid w:val="006B0187"/>
    <w:rsid w:val="006C16E7"/>
    <w:rsid w:val="006E39E9"/>
    <w:rsid w:val="007058C7"/>
    <w:rsid w:val="00722A49"/>
    <w:rsid w:val="00725013"/>
    <w:rsid w:val="007400B6"/>
    <w:rsid w:val="0074069B"/>
    <w:rsid w:val="00764338"/>
    <w:rsid w:val="00793082"/>
    <w:rsid w:val="007A72BF"/>
    <w:rsid w:val="007B1162"/>
    <w:rsid w:val="007B6F33"/>
    <w:rsid w:val="007D53DE"/>
    <w:rsid w:val="007D7102"/>
    <w:rsid w:val="007F4CE7"/>
    <w:rsid w:val="00805CD1"/>
    <w:rsid w:val="0080628D"/>
    <w:rsid w:val="008439AB"/>
    <w:rsid w:val="00863811"/>
    <w:rsid w:val="00885931"/>
    <w:rsid w:val="00891D49"/>
    <w:rsid w:val="008B1FEF"/>
    <w:rsid w:val="008B7FC1"/>
    <w:rsid w:val="008E380D"/>
    <w:rsid w:val="008E6570"/>
    <w:rsid w:val="009079B1"/>
    <w:rsid w:val="0091354A"/>
    <w:rsid w:val="00924AF5"/>
    <w:rsid w:val="009306F8"/>
    <w:rsid w:val="00932BA8"/>
    <w:rsid w:val="009447BE"/>
    <w:rsid w:val="00953054"/>
    <w:rsid w:val="00954B32"/>
    <w:rsid w:val="009572B8"/>
    <w:rsid w:val="009619CB"/>
    <w:rsid w:val="00965003"/>
    <w:rsid w:val="009722E1"/>
    <w:rsid w:val="009825E0"/>
    <w:rsid w:val="009A0A34"/>
    <w:rsid w:val="009B3DF2"/>
    <w:rsid w:val="009E003C"/>
    <w:rsid w:val="009E46B4"/>
    <w:rsid w:val="00A1606F"/>
    <w:rsid w:val="00A25ED4"/>
    <w:rsid w:val="00A26A16"/>
    <w:rsid w:val="00A36272"/>
    <w:rsid w:val="00A51E53"/>
    <w:rsid w:val="00A5237A"/>
    <w:rsid w:val="00A63B5E"/>
    <w:rsid w:val="00A65177"/>
    <w:rsid w:val="00A6576E"/>
    <w:rsid w:val="00A82096"/>
    <w:rsid w:val="00A85AD9"/>
    <w:rsid w:val="00A97876"/>
    <w:rsid w:val="00AA695E"/>
    <w:rsid w:val="00AB13C0"/>
    <w:rsid w:val="00AB454C"/>
    <w:rsid w:val="00AD41F1"/>
    <w:rsid w:val="00AD75BC"/>
    <w:rsid w:val="00AE3876"/>
    <w:rsid w:val="00AE6A7C"/>
    <w:rsid w:val="00AE7208"/>
    <w:rsid w:val="00AF6CB0"/>
    <w:rsid w:val="00B23026"/>
    <w:rsid w:val="00B234EA"/>
    <w:rsid w:val="00B24E75"/>
    <w:rsid w:val="00B30EDC"/>
    <w:rsid w:val="00B31817"/>
    <w:rsid w:val="00B33BD3"/>
    <w:rsid w:val="00B3762A"/>
    <w:rsid w:val="00B50BB6"/>
    <w:rsid w:val="00B7398C"/>
    <w:rsid w:val="00B77F2A"/>
    <w:rsid w:val="00B85E9B"/>
    <w:rsid w:val="00B958AD"/>
    <w:rsid w:val="00BA5EFA"/>
    <w:rsid w:val="00BB376D"/>
    <w:rsid w:val="00BB7876"/>
    <w:rsid w:val="00BD0B31"/>
    <w:rsid w:val="00BD0C21"/>
    <w:rsid w:val="00BE176D"/>
    <w:rsid w:val="00C04688"/>
    <w:rsid w:val="00C116D5"/>
    <w:rsid w:val="00C25978"/>
    <w:rsid w:val="00C54F05"/>
    <w:rsid w:val="00C75ADA"/>
    <w:rsid w:val="00C76450"/>
    <w:rsid w:val="00C81A61"/>
    <w:rsid w:val="00C86877"/>
    <w:rsid w:val="00CA4F46"/>
    <w:rsid w:val="00CB7609"/>
    <w:rsid w:val="00CC1E52"/>
    <w:rsid w:val="00CC6ACB"/>
    <w:rsid w:val="00CE179E"/>
    <w:rsid w:val="00D148D3"/>
    <w:rsid w:val="00D24FC4"/>
    <w:rsid w:val="00D4210E"/>
    <w:rsid w:val="00D42D80"/>
    <w:rsid w:val="00D43251"/>
    <w:rsid w:val="00D64038"/>
    <w:rsid w:val="00D722BB"/>
    <w:rsid w:val="00D7743B"/>
    <w:rsid w:val="00DA5330"/>
    <w:rsid w:val="00DB7D00"/>
    <w:rsid w:val="00DC6E0D"/>
    <w:rsid w:val="00DD0245"/>
    <w:rsid w:val="00DD4763"/>
    <w:rsid w:val="00DE5E55"/>
    <w:rsid w:val="00DF1422"/>
    <w:rsid w:val="00DF300C"/>
    <w:rsid w:val="00E008CF"/>
    <w:rsid w:val="00E0563D"/>
    <w:rsid w:val="00E20DC1"/>
    <w:rsid w:val="00E3035E"/>
    <w:rsid w:val="00E4499D"/>
    <w:rsid w:val="00E67BB9"/>
    <w:rsid w:val="00E93CBD"/>
    <w:rsid w:val="00E9558D"/>
    <w:rsid w:val="00EC4814"/>
    <w:rsid w:val="00EC55C1"/>
    <w:rsid w:val="00EC65AF"/>
    <w:rsid w:val="00EE5C42"/>
    <w:rsid w:val="00EF39C5"/>
    <w:rsid w:val="00F10468"/>
    <w:rsid w:val="00F24D9D"/>
    <w:rsid w:val="00F24E03"/>
    <w:rsid w:val="00F2515C"/>
    <w:rsid w:val="00F30096"/>
    <w:rsid w:val="00F30D73"/>
    <w:rsid w:val="00F3314C"/>
    <w:rsid w:val="00F33875"/>
    <w:rsid w:val="00F40027"/>
    <w:rsid w:val="00F44973"/>
    <w:rsid w:val="00F47C69"/>
    <w:rsid w:val="00F560DB"/>
    <w:rsid w:val="00F66225"/>
    <w:rsid w:val="00F71208"/>
    <w:rsid w:val="00F95261"/>
    <w:rsid w:val="00F96D5F"/>
    <w:rsid w:val="00F97781"/>
    <w:rsid w:val="00FA1F3A"/>
    <w:rsid w:val="00FA777A"/>
    <w:rsid w:val="00FB4A49"/>
    <w:rsid w:val="00FC495D"/>
    <w:rsid w:val="00FD058E"/>
    <w:rsid w:val="00FD2340"/>
    <w:rsid w:val="00FD6170"/>
    <w:rsid w:val="00FE45D4"/>
    <w:rsid w:val="00FF05C0"/>
    <w:rsid w:val="00FF53A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AAB81841-5C33-46E3-BA54-751F19EFC5C3}"/>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E003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B23026"/>
    <w:rPr>
      <w:rFonts w:ascii="Tahoma" w:hAnsi="Tahoma" w:cs="Tahoma"/>
      <w:sz w:val="16"/>
      <w:szCs w:val="16"/>
    </w:rPr>
  </w:style>
  <w:style w:type="paragraph" w:styleId="Zaglavlje">
    <w:name w:val="header"/>
    <w:basedOn w:val="Normal"/>
    <w:link w:val="ZaglavljeChar"/>
    <w:uiPriority w:val="99"/>
    <w:rsid w:val="000F0D50"/>
    <w:pPr>
      <w:tabs>
        <w:tab w:val="center" w:pos="4536"/>
        <w:tab w:val="right" w:pos="9072"/>
      </w:tabs>
    </w:pPr>
  </w:style>
  <w:style w:type="character" w:styleId="ZaglavljeChar" w:customStyle="true">
    <w:name w:val="Zaglavlje Char"/>
    <w:link w:val="Zaglavlje"/>
    <w:uiPriority w:val="99"/>
    <w:rsid w:val="000F0D50"/>
    <w:rPr>
      <w:sz w:val="24"/>
      <w:szCs w:val="24"/>
    </w:rPr>
  </w:style>
  <w:style w:type="paragraph" w:styleId="Podnoje">
    <w:name w:val="footer"/>
    <w:basedOn w:val="Normal"/>
    <w:link w:val="PodnojeChar"/>
    <w:rsid w:val="000F0D50"/>
    <w:pPr>
      <w:tabs>
        <w:tab w:val="center" w:pos="4536"/>
        <w:tab w:val="right" w:pos="9072"/>
      </w:tabs>
    </w:pPr>
  </w:style>
  <w:style w:type="character" w:styleId="PodnojeChar" w:customStyle="true">
    <w:name w:val="Podnožje Char"/>
    <w:link w:val="Podnoje"/>
    <w:rsid w:val="000F0D50"/>
    <w:rPr>
      <w:sz w:val="24"/>
      <w:szCs w:val="24"/>
    </w:rPr>
  </w:style>
  <w:style w:type="paragraph" w:styleId="Odlomakpopisa">
    <w:name w:val="List Paragraph"/>
    <w:basedOn w:val="Normal"/>
    <w:uiPriority w:val="34"/>
    <w:qFormat/>
    <w:rsid w:val="009B3DF2"/>
    <w:pPr>
      <w:ind w:left="720"/>
      <w:contextualSpacing/>
    </w:pPr>
  </w:style>
  <w:style w:type="character" w:styleId="Tekstrezerviranogmjesta">
    <w:name w:val="Placeholder Text"/>
    <w:basedOn w:val="Zadanifontodlomka"/>
    <w:uiPriority w:val="99"/>
    <w:semiHidden/>
    <w:rsid w:val="005217F3"/>
    <w:rPr>
      <w:color w:val="808080"/>
      <w:bdr w:val="none" w:color="auto" w:sz="0" w:space="0"/>
      <w:shd w:val="clear" w:color="auto" w:fill="auto"/>
    </w:rPr>
  </w:style>
  <w:style w:type="character" w:styleId="eSPISCCParagraphDefaultFont" w:customStyle="true">
    <w:name w:val="eSPIS_CC_Paragraph Default Font"/>
    <w:basedOn w:val="Zadanifontodlomka"/>
    <w:rsid w:val="005217F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217F3"/>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5217F3"/>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5217F3"/>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62501">
      <w:bodyDiv w:val="true"/>
      <w:marLeft w:val="0"/>
      <w:marRight w:val="0"/>
      <w:marTop w:val="0"/>
      <w:marBottom w:val="0"/>
      <w:divBdr>
        <w:top w:val="none" w:color="auto" w:sz="0" w:space="0"/>
        <w:left w:val="none" w:color="auto" w:sz="0" w:space="0"/>
        <w:bottom w:val="none" w:color="auto" w:sz="0" w:space="0"/>
        <w:right w:val="none" w:color="auto" w:sz="0" w:space="0"/>
      </w:divBdr>
    </w:div>
    <w:div w:id="712271925">
      <w:bodyDiv w:val="true"/>
      <w:marLeft w:val="0"/>
      <w:marRight w:val="0"/>
      <w:marTop w:val="0"/>
      <w:marBottom w:val="0"/>
      <w:divBdr>
        <w:top w:val="none" w:color="auto" w:sz="0" w:space="0"/>
        <w:left w:val="none" w:color="auto" w:sz="0" w:space="0"/>
        <w:bottom w:val="none" w:color="auto" w:sz="0" w:space="0"/>
        <w:right w:val="none" w:color="auto" w:sz="0" w:space="0"/>
      </w:divBdr>
    </w:div>
    <w:div w:id="728186282">
      <w:bodyDiv w:val="true"/>
      <w:marLeft w:val="0"/>
      <w:marRight w:val="0"/>
      <w:marTop w:val="0"/>
      <w:marBottom w:val="0"/>
      <w:divBdr>
        <w:top w:val="none" w:color="auto" w:sz="0" w:space="0"/>
        <w:left w:val="none" w:color="auto" w:sz="0" w:space="0"/>
        <w:bottom w:val="none" w:color="auto" w:sz="0" w:space="0"/>
        <w:right w:val="none" w:color="auto" w:sz="0" w:space="0"/>
      </w:divBdr>
    </w:div>
    <w:div w:id="927346599">
      <w:bodyDiv w:val="true"/>
      <w:marLeft w:val="0"/>
      <w:marRight w:val="0"/>
      <w:marTop w:val="0"/>
      <w:marBottom w:val="0"/>
      <w:divBdr>
        <w:top w:val="none" w:color="auto" w:sz="0" w:space="0"/>
        <w:left w:val="none" w:color="auto" w:sz="0" w:space="0"/>
        <w:bottom w:val="none" w:color="auto" w:sz="0" w:space="0"/>
        <w:right w:val="none" w:color="auto" w:sz="0" w:space="0"/>
      </w:divBdr>
    </w:div>
    <w:div w:id="964392245">
      <w:bodyDiv w:val="true"/>
      <w:marLeft w:val="0"/>
      <w:marRight w:val="0"/>
      <w:marTop w:val="0"/>
      <w:marBottom w:val="0"/>
      <w:divBdr>
        <w:top w:val="none" w:color="auto" w:sz="0" w:space="0"/>
        <w:left w:val="none" w:color="auto" w:sz="0" w:space="0"/>
        <w:bottom w:val="none" w:color="auto" w:sz="0" w:space="0"/>
        <w:right w:val="none" w:color="auto" w:sz="0" w:space="0"/>
      </w:divBdr>
    </w:div>
    <w:div w:id="1007975525">
      <w:bodyDiv w:val="true"/>
      <w:marLeft w:val="0"/>
      <w:marRight w:val="0"/>
      <w:marTop w:val="0"/>
      <w:marBottom w:val="0"/>
      <w:divBdr>
        <w:top w:val="none" w:color="auto" w:sz="0" w:space="0"/>
        <w:left w:val="none" w:color="auto" w:sz="0" w:space="0"/>
        <w:bottom w:val="none" w:color="auto" w:sz="0" w:space="0"/>
        <w:right w:val="none" w:color="auto" w:sz="0" w:space="0"/>
      </w:divBdr>
    </w:div>
    <w:div w:id="1373968338">
      <w:bodyDiv w:val="true"/>
      <w:marLeft w:val="0"/>
      <w:marRight w:val="0"/>
      <w:marTop w:val="0"/>
      <w:marBottom w:val="0"/>
      <w:divBdr>
        <w:top w:val="none" w:color="auto" w:sz="0" w:space="0"/>
        <w:left w:val="none" w:color="auto" w:sz="0" w:space="0"/>
        <w:bottom w:val="none" w:color="auto" w:sz="0" w:space="0"/>
        <w:right w:val="none" w:color="auto" w:sz="0" w:space="0"/>
      </w:divBdr>
    </w:div>
    <w:div w:id="1382051418">
      <w:bodyDiv w:val="true"/>
      <w:marLeft w:val="0"/>
      <w:marRight w:val="0"/>
      <w:marTop w:val="0"/>
      <w:marBottom w:val="0"/>
      <w:divBdr>
        <w:top w:val="none" w:color="auto" w:sz="0" w:space="0"/>
        <w:left w:val="none" w:color="auto" w:sz="0" w:space="0"/>
        <w:bottom w:val="none" w:color="auto" w:sz="0" w:space="0"/>
        <w:right w:val="none" w:color="auto" w:sz="0" w:space="0"/>
      </w:divBdr>
    </w:div>
    <w:div w:id="1425149493">
      <w:bodyDiv w:val="true"/>
      <w:marLeft w:val="0"/>
      <w:marRight w:val="0"/>
      <w:marTop w:val="0"/>
      <w:marBottom w:val="0"/>
      <w:divBdr>
        <w:top w:val="none" w:color="auto" w:sz="0" w:space="0"/>
        <w:left w:val="none" w:color="auto" w:sz="0" w:space="0"/>
        <w:bottom w:val="none" w:color="auto" w:sz="0" w:space="0"/>
        <w:right w:val="none" w:color="auto" w:sz="0" w:space="0"/>
      </w:divBdr>
    </w:div>
    <w:div w:id="1451322592">
      <w:bodyDiv w:val="true"/>
      <w:marLeft w:val="0"/>
      <w:marRight w:val="0"/>
      <w:marTop w:val="0"/>
      <w:marBottom w:val="0"/>
      <w:divBdr>
        <w:top w:val="none" w:color="auto" w:sz="0" w:space="0"/>
        <w:left w:val="none" w:color="auto" w:sz="0" w:space="0"/>
        <w:bottom w:val="none" w:color="auto" w:sz="0" w:space="0"/>
        <w:right w:val="none" w:color="auto" w:sz="0" w:space="0"/>
      </w:divBdr>
    </w:div>
    <w:div w:id="1622607496">
      <w:bodyDiv w:val="true"/>
      <w:marLeft w:val="0"/>
      <w:marRight w:val="0"/>
      <w:marTop w:val="0"/>
      <w:marBottom w:val="0"/>
      <w:divBdr>
        <w:top w:val="none" w:color="auto" w:sz="0" w:space="0"/>
        <w:left w:val="none" w:color="auto" w:sz="0" w:space="0"/>
        <w:bottom w:val="none" w:color="auto" w:sz="0" w:space="0"/>
        <w:right w:val="none" w:color="auto" w:sz="0" w:space="0"/>
      </w:divBdr>
    </w:div>
    <w:div w:id="1704289055">
      <w:bodyDiv w:val="true"/>
      <w:marLeft w:val="0"/>
      <w:marRight w:val="0"/>
      <w:marTop w:val="0"/>
      <w:marBottom w:val="0"/>
      <w:divBdr>
        <w:top w:val="none" w:color="auto" w:sz="0" w:space="0"/>
        <w:left w:val="none" w:color="auto" w:sz="0" w:space="0"/>
        <w:bottom w:val="none" w:color="auto" w:sz="0" w:space="0"/>
        <w:right w:val="none" w:color="auto" w:sz="0" w:space="0"/>
      </w:divBdr>
    </w:div>
    <w:div w:id="1984692257">
      <w:bodyDiv w:val="true"/>
      <w:marLeft w:val="0"/>
      <w:marRight w:val="0"/>
      <w:marTop w:val="0"/>
      <w:marBottom w:val="0"/>
      <w:divBdr>
        <w:top w:val="none" w:color="auto" w:sz="0" w:space="0"/>
        <w:left w:val="none" w:color="auto" w:sz="0" w:space="0"/>
        <w:bottom w:val="none" w:color="auto" w:sz="0" w:space="0"/>
        <w:right w:val="none" w:color="auto" w:sz="0" w:space="0"/>
      </w:divBdr>
    </w:div>
    <w:div w:id="2045864631">
      <w:bodyDiv w:val="true"/>
      <w:marLeft w:val="0"/>
      <w:marRight w:val="0"/>
      <w:marTop w:val="0"/>
      <w:marBottom w:val="0"/>
      <w:divBdr>
        <w:top w:val="none" w:color="auto" w:sz="0" w:space="0"/>
        <w:left w:val="none" w:color="auto" w:sz="0" w:space="0"/>
        <w:bottom w:val="none" w:color="auto" w:sz="0" w:space="0"/>
        <w:right w:val="none" w:color="auto" w:sz="0" w:space="0"/>
      </w:divBdr>
    </w:div>
    <w:div w:id="210607389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25. kolovoza 2021.</izvorni_sadrzaj>
    <derivirana_varijabla naziv="DomainObject.StvarniPocetakDatum_1">25. kolovoza 2021.</derivirana_varijabla>
  </DomainObject.StvarniPocetakDatum>
  <DomainObject.StvarniZavrsetakDatum>
    <izvorni_sadrzaj>25. kolovoza 2021.</izvorni_sadrzaj>
    <derivirana_varijabla naziv="DomainObject.StvarniZavrsetakDatum_1">25. kolovoza 2021.</derivirana_varijabla>
  </DomainObject.StvarniZavrsetakDatum>
  <DomainObject.PlaniraniZavrsetakDatum>
    <izvorni_sadrzaj>25. kolovoza 2021.</izvorni_sadrzaj>
    <derivirana_varijabla naziv="DomainObject.PlaniraniZavrsetakDatum_1">25. kolovoza 2021.</derivirana_varijabla>
  </DomainObject.PlaniraniZavrsetakDatum>
  <DomainObject.PlaniraniPocetakDatum>
    <izvorni_sadrzaj>25. kolovoza 2021.</izvorni_sadrzaj>
    <derivirana_varijabla naziv="DomainObject.PlaniraniPocetakDatum_1">25. kolovoza 2021.</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10:44</izvorni_sadrzaj>
    <derivirana_varijabla naziv="DomainObject.StvarniZavrsetakVrijeme_1">10:44</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kolovoza 2021.</izvorni_sadrzaj>
    <derivirana_varijabla naziv="DomainObject.Zapisnik.DatumKreiranja_1">25. kolovoza 2021.</derivirana_varijabla>
  </DomainObject.Zapisnik.DatumKreiranja>
  <DomainObject.Zapisnik.ImovinskaKorist>
    <izvorni_sadrzaj/>
    <derivirana_varijabla naziv="DomainObject.Zapisnik.ImovinskaKorist_1"/>
  </DomainObject.Zapisnik.ImovinskaKorist>
  <DomainObject.Zapisnik.Oznaka>
    <izvorni_sadrzaj>St-142/2018-117</izvorni_sadrzaj>
    <derivirana_varijabla naziv="DomainObject.Zapisnik.Oznaka_1">St-142/2018-117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izvorni_sadrzaj>
    <derivirana_varijabla naziv="DomainObject.Predmet.Broj_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2018.</izvorni_sadrzaj>
    <derivirana_varijabla naziv="DomainObject.Predmet.DatumOsnivanja_1">30.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St-142/2018</izvorni_sadrzaj>
    <derivirana_varijabla naziv="DomainObject.Predmet.OznakaBroj_1">St-142/2018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MATKOL, d.o.o. za proizvodnju prehrambenih proizvoda, trgovinu i usluge</izvorni_sadrzaj>
    <derivirana_varijabla naziv="DomainObject.Predmet.ProtustrankaFormated_1">  MATKOL, d.o.o. za proizvodnju prehrambenih proizvoda, trgovinu i usluge</derivirana_varijabla>
  </DomainObject.Predmet.ProtustrankaFormated>
  <DomainObject.Predmet.ProtustrankaFormatedOIB>
    <izvorni_sadrzaj>  MATKOL, d.o.o. za proizvodnju prehrambenih proizvoda, trgovinu i usluge, OIB 14821448506</izvorni_sadrzaj>
    <derivirana_varijabla naziv="DomainObject.Predmet.ProtustrankaFormatedOIB_1">  MATKOL, d.o.o. za proizvodnju prehrambenih proizvoda, trgovinu i usluge, OIB 14821448506</derivirana_varijabla>
  </DomainObject.Predmet.ProtustrankaFormatedOIB>
  <DomainObject.Predmet.ProtustrankaFormatedWithAdress>
    <izvorni_sadrzaj> MATKOL, d.o.o. za proizvodnju prehrambenih proizvoda, trgovinu i usluge, 8. Dalmatinske udarne brigade 23, 22000 Šibenik</izvorni_sadrzaj>
    <derivirana_varijabla naziv="DomainObject.Predmet.ProtustrankaFormatedWithAdress_1"> MATKOL, d.o.o. za proizvodnju prehrambenih proizvoda, trgovinu i usluge, 8. Dalmatinske udarne brigade 23, 22000 Šibenik</derivirana_varijabla>
  </DomainObject.Predmet.ProtustrankaFormatedWithAdress>
  <DomainObject.Predmet.ProtustrankaFormatedWithAdressOIB>
    <izvorni_sadrzaj> MATKOL, d.o.o. za proizvodnju prehrambenih proizvoda, trgovinu i usluge, OIB 14821448506, 8. Dalmatinske udarne brigade 23, 22000 Šibenik</izvorni_sadrzaj>
    <derivirana_varijabla naziv="DomainObject.Predmet.ProtustrankaFormatedWithAdressOIB_1"> MATKOL, d.o.o. za proizvodnju prehrambenih proizvoda, trgovinu i usluge, OIB 14821448506, 8. Dalmatinske udarne brigade 23, 22000 Šibenik</derivirana_varijabla>
  </DomainObject.Predmet.ProtustrankaFormatedWithAdressOIB>
  <DomainObject.Predmet.ProtustrankaWithAdress>
    <izvorni_sadrzaj>MATKOL, d.o.o. za proizvodnju prehrambenih proizvoda, trgovinu i usluge 8. Dalmatinske udarne brigade 23, 22000 Šibenik</izvorni_sadrzaj>
    <derivirana_varijabla naziv="DomainObject.Predmet.ProtustrankaWithAdress_1">MATKOL, d.o.o. za proizvodnju prehrambenih proizvoda, trgovinu i usluge 8. Dalmatinske udarne brigade 23, 22000 Šibenik</derivirana_varijabla>
  </DomainObject.Predmet.ProtustrankaWithAdress>
  <DomainObject.Predmet.ProtustrankaWithAdressOIB>
    <izvorni_sadrzaj>MATKOL, d.o.o. za proizvodnju prehrambenih proizvoda, trgovinu i usluge, OIB 14821448506, 8. Dalmatinske udarne brigade 23, 22000 Šibenik</izvorni_sadrzaj>
    <derivirana_varijabla naziv="DomainObject.Predmet.ProtustrankaWithAdressOIB_1">MATKOL, d.o.o. za proizvodnju prehrambenih proizvoda, trgovinu i usluge, OIB 14821448506, 8. Dalmatinske udarne brigade 23, 22000 Šibenik</derivirana_varijabla>
  </DomainObject.Predmet.ProtustrankaWithAdressOIB>
  <DomainObject.Predmet.ProtustrankaNazivFormated>
    <izvorni_sadrzaj>MATKOL, d.o.o. za proizvodnju prehrambenih proizvoda, trgovinu i usluge</izvorni_sadrzaj>
    <derivirana_varijabla naziv="DomainObject.Predmet.ProtustrankaNazivFormated_1">MATKOL, d.o.o. za proizvodnju prehrambenih proizvoda, trgovinu i usluge</derivirana_varijabla>
  </DomainObject.Predmet.ProtustrankaNazivFormated>
  <DomainObject.Predmet.ProtustrankaNazivFormatedOIB>
    <izvorni_sadrzaj>MATKOL, d.o.o. za proizvodnju prehrambenih proizvoda, trgovinu i usluge, OIB 14821448506</izvorni_sadrzaj>
    <derivirana_varijabla naziv="DomainObject.Predmet.ProtustrankaNazivFormatedOIB_1">MATKOL, d.o.o. za proizvodnju prehrambenih proizvoda, trgovinu i usluge, OIB 14821448506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MATKOL, d.o.o. za proizvodnju prehrambenih proizvoda, trgovinu i usluge</item>
    </izvorni_sadrzaj>
    <derivirana_varijabla naziv="DomainObject.Predmet.ProtuStrankaListFormated_1">
      <item>MATKOL, d.o.o. za proizvodnju prehrambenih proizvoda, trgovinu i usluge</item>
    </derivirana_varijabla>
  </DomainObject.Predmet.ProtuStrankaListFormated>
  <DomainObject.Predmet.ProtuStrankaListFormatedOIB>
    <izvorni_sadrzaj>
      <item>MATKOL, d.o.o. za proizvodnju prehrambenih proizvoda, trgovinu i usluge, OIB 14821448506</item>
    </izvorni_sadrzaj>
    <derivirana_varijabla naziv="DomainObject.Predmet.ProtuStrankaListFormatedOIB_1">
      <item>MATKOL, d.o.o. za proizvodnju prehrambenih proizvoda, trgovinu i usluge, OIB 14821448506</item>
    </derivirana_varijabla>
  </DomainObject.Predmet.ProtuStrankaListFormatedOIB>
  <DomainObject.Predmet.ProtuStrankaListFormatedWithAdress>
    <izvorni_sadrzaj>
      <item>MATKOL, d.o.o. za proizvodnju prehrambenih proizvoda, trgovinu i usluge, 8. Dalmatinske udarne brigade 23, 22000 Šibenik</item>
    </izvorni_sadrzaj>
    <derivirana_varijabla naziv="DomainObject.Predmet.ProtuStrankaListFormatedWithAdress_1">
      <item>MATKOL, d.o.o. za proizvodnju prehrambenih proizvoda, trgovinu i usluge, 8. Dalmatinske udarne brigade 23, 22000 Šibenik</item>
    </derivirana_varijabla>
  </DomainObject.Predmet.ProtuStrankaListFormatedWithAdress>
  <DomainObject.Predmet.ProtuStrankaListFormatedWithAdressOIB>
    <izvorni_sadrzaj>
      <item>MATKOL, d.o.o. za proizvodnju prehrambenih proizvoda, trgovinu i usluge, OIB 14821448506, 8. Dalmatinske udarne brigade 23, 22000 Šibenik</item>
    </izvorni_sadrzaj>
    <derivirana_varijabla naziv="DomainObject.Predmet.ProtuStrankaListFormatedWithAdressOIB_1">
      <item>MATKOL, d.o.o. za proizvodnju prehrambenih proizvoda, trgovinu i usluge, OIB 14821448506, 8. Dalmatinske udarne brigade 23, 22000 Šibenik</item>
    </derivirana_varijabla>
  </DomainObject.Predmet.ProtuStrankaListFormatedWithAdressOIB>
  <DomainObject.Predmet.ProtuStrankaListNazivFormated>
    <izvorni_sadrzaj>
      <item>MATKOL, d.o.o. za proizvodnju prehrambenih proizvoda, trgovinu i usluge</item>
    </izvorni_sadrzaj>
    <derivirana_varijabla naziv="DomainObject.Predmet.ProtuStrankaListNazivFormated_1">
      <item>MATKOL, d.o.o. za proizvodnju prehrambenih proizvoda, trgovinu i usluge</item>
    </derivirana_varijabla>
  </DomainObject.Predmet.ProtuStrankaListNazivFormated>
  <DomainObject.Predmet.ProtuStrankaListNazivFormatedOIB>
    <izvorni_sadrzaj>
      <item>MATKOL, d.o.o. za proizvodnju prehrambenih proizvoda, trgovinu i usluge, OIB 14821448506</item>
    </izvorni_sadrzaj>
    <derivirana_varijabla naziv="DomainObject.Predmet.ProtuStrankaListNazivFormatedOIB_1">
      <item>MATKOL, d.o.o. za proizvodnju prehrambenih proizvoda, trgovinu i usluge, OIB 14821448506</item>
    </derivirana_varijabla>
  </DomainObject.Predmet.ProtuStrankaListNazivFormatedOIB>
  <DomainObject.Predmet.OstaliListFormated>
    <izvorni_sadrzaj>
      <item>Branko Koloper</item>
      <item>Odvjetnik Borivoj Mitrić</item>
    </izvorni_sadrzaj>
    <derivirana_varijabla naziv="DomainObject.Predmet.OstaliListFormated_1">
      <item>Branko Koloper</item>
      <item>Odvjetnik Borivoj Mitrić</item>
    </derivirana_varijabla>
  </DomainObject.Predmet.OstaliListFormated>
  <DomainObject.Predmet.OstaliListFormatedOIB>
    <izvorni_sadrzaj>
      <item>Branko Koloper, OIB 11485891677</item>
      <item>Odvjetnik Borivoj Mitrić</item>
    </izvorni_sadrzaj>
    <derivirana_varijabla naziv="DomainObject.Predmet.OstaliListFormatedOIB_1">
      <item>Branko Koloper, OIB 11485891677</item>
      <item>Odvjetnik Borivoj Mitrić</item>
    </derivirana_varijabla>
  </DomainObject.Predmet.OstaliListFormatedOIB>
  <DomainObject.Predmet.OstaliListFormatedWithAdress>
    <izvorni_sadrzaj>
      <item>Branko Koloper, Ul.8.udarne Dalmat.brigade 23, 22000 Šibenik</item>
      <item>Odvjetnik Borivoj Mitrić, Radića 31, 22000 Šibenik</item>
    </izvorni_sadrzaj>
    <derivirana_varijabla naziv="DomainObject.Predmet.OstaliListFormatedWithAdress_1">
      <item>Branko Koloper, Ul.8.udarne Dalmat.brigade 23, 22000 Šibenik</item>
      <item>Odvjetnik Borivoj Mitrić, Radića 31, 22000 Šibenik</item>
    </derivirana_varijabla>
  </DomainObject.Predmet.OstaliListFormatedWithAdress>
  <DomainObject.Predmet.OstaliListFormatedWithAdressOIB>
    <izvorni_sadrzaj>
      <item>Branko Koloper, OIB 11485891677, Ul.8.udarne Dalmat.brigade 23, 22000 Šibenik</item>
      <item>Odvjetnik Borivoj Mitrić, Radića 31, 22000 Šibenik</item>
    </izvorni_sadrzaj>
    <derivirana_varijabla naziv="DomainObject.Predmet.OstaliListFormatedWithAdressOIB_1">
      <item>Branko Koloper, OIB 11485891677, Ul.8.udarne Dalmat.brigade 23, 22000 Šibenik</item>
      <item>Odvjetnik Borivoj Mitrić, Radića 31, 22000 Šibenik</item>
    </derivirana_varijabla>
  </DomainObject.Predmet.OstaliListFormatedWithAdressOIB>
  <DomainObject.Predmet.OstaliListNazivFormated>
    <izvorni_sadrzaj>
      <item>Branko Koloper</item>
      <item>Odvjetnik Borivoj Mitrić</item>
    </izvorni_sadrzaj>
    <derivirana_varijabla naziv="DomainObject.Predmet.OstaliListNazivFormated_1">
      <item>Branko Koloper</item>
      <item>Odvjetnik Borivoj Mitrić</item>
    </derivirana_varijabla>
  </DomainObject.Predmet.OstaliListNazivFormated>
  <DomainObject.Predmet.OstaliListNazivFormatedOIB>
    <izvorni_sadrzaj>
      <item>Branko Koloper, OIB 11485891677</item>
      <item>Odvjetnik Borivoj Mitrić</item>
    </izvorni_sadrzaj>
    <derivirana_varijabla naziv="DomainObject.Predmet.OstaliListNazivFormatedOIB_1">
      <item>Branko Koloper, OIB 11485891677</item>
      <item>Odvjetnik Borivoj Mitrić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25. kolovoza 2021.</izvorni_sadrzaj>
    <derivirana_varijabla naziv="DomainObject.Datum_1">25. kolovoza 2021.</derivirana_varijabla>
  </DomainObject.Datum>
  <DomainObject.PoslovniBrojDokumenta>
    <izvorni_sadrzaj>St-142/2018-117</izvorni_sadrzaj>
    <derivirana_varijabla naziv="DomainObject.PoslovniBrojDokumenta_1">St-142/2018-117</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MATKOL, d.o.o. za proizvodnju prehrambenih proizvoda, trgovinu i usluge</izvorni_sadrzaj>
    <derivirana_varijabla naziv="DomainObject.Predmet.ProtustrankaIDrugi_1">MATKOL, d.o.o. za proizvodnju prehrambenih proizvoda,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MATKOL, d.o.o. za proizvodnju prehrambenih proizvoda, trgovinu i usluge, OIB 14821448506, 8. Dalmatinske udarne brigade 23, 22000 Šibenik</izvorni_sadrzaj>
    <derivirana_varijabla naziv="DomainObject.Predmet.ProtustrankaIDrugiAdressOIB_1">MATKOL, d.o.o. za proizvodnju prehrambenih proizvoda, trgovinu i usluge, OIB 14821448506, 8. Dalmatinske udarne brigade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MATKOL, d.o.o. za proizvodnju prehrambenih proizvoda, trgovinu i usluge</item>
      <item>Branko Koloper</item>
      <item>Odvjetnik Borivoj Mitrić</item>
    </izvorni_sadrzaj>
    <derivirana_varijabla naziv="DomainObject.Predmet.SudioniciListNaziv_1">
      <item>FINA - Podružnica Šibenik</item>
      <item>MATKOL, d.o.o. za proizvodnju prehrambenih proizvoda, trgovinu i usluge</item>
      <item>Branko Koloper</item>
      <item>Odvjetnik Borivoj Mitrić</item>
    </derivirana_varijabla>
  </DomainObject.Predmet.SudioniciListNaziv>
  <DomainObject.Predmet.SudioniciListAdressOIB>
    <izvorni_sadrzaj>
      <item>FINA - Podružnica Šibenik, OIB 85821130368, Perivoj L. Marune 1,22000 Šibenik</item>
      <item>MATKOL, d.o.o. za proizvodnju prehrambenih proizvoda, trgovinu i usluge, OIB 14821448506, 8. Dalmatinske udarne brigade 23,22000 Šibenik</item>
      <item>Branko Koloper, OIB 11485891677, Ul.8.udarne Dalmat.brigade 23,22000 Šibenik</item>
      <item>Odvjetnik Borivoj Mitrić, Radića 31,22000 Šibenik</item>
    </izvorni_sadrzaj>
    <derivirana_varijabla naziv="DomainObject.Predmet.SudioniciListAdressOIB_1">
      <item>FINA - Podružnica Šibenik, OIB 85821130368, Perivoj L. Marune 1,22000 Šibenik</item>
      <item>MATKOL, d.o.o. za proizvodnju prehrambenih proizvoda, trgovinu i usluge, OIB 14821448506, 8. Dalmatinske udarne brigade 23,22000 Šibenik</item>
      <item>Branko Koloper, OIB 11485891677, Ul.8.udarne Dalmat.brigade 23,22000 Šibenik</item>
      <item>Odvjetnik Borivoj Mitrić, Radića 31,22000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14821448506</item>
      <item>, OIB 11485891677</item>
      <item>, OIB null</item>
    </izvorni_sadrzaj>
    <derivirana_varijabla naziv="DomainObject.Predmet.SudioniciListNazivOIB_1">
      <item>, OIB 85821130368</item>
      <item>, OIB 14821448506</item>
      <item>, OIB 11485891677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Tea Gatternig, OIB 20214370352, Branka Vodnika 4, 42000 Varaždin</item>
    </izvorni_sadrzaj>
    <derivirana_varijabla naziv="DomainObject.Predmet.StecajniUpraviteljiListAddressOIB_1">
      <item>Tea Gatternig, OIB 20214370352, Branka Vodnika 4,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travnja 2018.</izvorni_sadrzaj>
    <derivirana_varijabla naziv="DomainObject.Predmet.DatumPocetkaProcesa_1">30. travnja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AD03B3-0E58-4CF5-BDB4-92A4285EAF86}">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3</properties:Pages>
  <properties:Words>838</properties:Words>
  <properties:Characters>4649</properties:Characters>
  <properties:Lines>156</properties:Lines>
  <properties:Paragraphs>50</properties:Paragraphs>
  <properties:TotalTime>54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5460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2021-08-24T12:42:00Z</dcterms:created>
  <dc:creator>abajlo</dc:creator>
  <cp:lastModifiedBy>Ardena Bajlo</cp:lastModifiedBy>
  <cp:lastPrinted>2019-09-24T07:41:00Z</cp:lastPrinted>
  <dcterms:modified xmlns:xsi="http://www.w3.org/2001/XMLSchema-instance" xsi:type="dcterms:W3CDTF">2021-08-25T12:00:00Z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St-142/2018-117 / Zapisnik - Skupština vjerovnika (1St-142-18 skupština vjerovnika 25.8.2021-.docx)</vt:lpwstr>
  </prop:property>
  <prop:property fmtid="{D5CDD505-2E9C-101B-9397-08002B2CF9AE}" pid="4" name="CC_coloring">
    <vt:bool>false</vt:bool>
  </prop:property>
  <prop:property fmtid="{D5CDD505-2E9C-101B-9397-08002B2CF9AE}" pid="5" name="BrojStranica">
    <vt:i4>3</vt:i4>
  </prop:property>
</prop:Properties>
</file>